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ascii="宋体" w:hAnsi="宋体" w:eastAsia="宋体"/>
          <w:sz w:val="24"/>
          <w:szCs w:val="24"/>
        </w:rPr>
      </w:pPr>
    </w:p>
    <w:p>
      <w:pPr>
        <w:widowControl/>
        <w:jc w:val="center"/>
        <w:rPr>
          <w:rFonts w:ascii="宋体" w:hAnsi="宋体" w:eastAsia="宋体"/>
          <w:b/>
          <w:bCs/>
          <w:color w:val="F79646" w:themeColor="accent6"/>
          <w:sz w:val="36"/>
          <w:szCs w:val="36"/>
        </w:rPr>
      </w:pPr>
      <w:bookmarkStart w:id="0" w:name="_GoBack"/>
      <w:r>
        <w:rPr>
          <w:rFonts w:hint="eastAsia" w:ascii="宋体" w:hAnsi="宋体" w:eastAsia="宋体"/>
          <w:b/>
          <w:bCs/>
          <w:color w:val="F79646" w:themeColor="accent6"/>
          <w:sz w:val="36"/>
          <w:szCs w:val="36"/>
        </w:rPr>
        <w:t>科学指南针服务平台网站</w:t>
      </w:r>
    </w:p>
    <w:bookmarkEnd w:id="0"/>
    <w:p>
      <w:pPr>
        <w:widowControl/>
        <w:jc w:val="center"/>
        <w:rPr>
          <w:rFonts w:ascii="宋体" w:hAnsi="宋体" w:eastAsia="宋体"/>
          <w:color w:val="F79646" w:themeColor="accent6"/>
          <w:sz w:val="24"/>
          <w:szCs w:val="24"/>
        </w:rPr>
      </w:pPr>
      <w:r>
        <w:fldChar w:fldCharType="begin"/>
      </w:r>
      <w:r>
        <w:instrText xml:space="preserve"> HYPERLINK "https://www.shiyanjia.com" </w:instrText>
      </w:r>
      <w:r>
        <w:fldChar w:fldCharType="separate"/>
      </w:r>
      <w:r>
        <w:rPr>
          <w:rStyle w:val="7"/>
          <w:rFonts w:hint="eastAsia" w:ascii="宋体" w:hAnsi="宋体" w:eastAsia="宋体"/>
          <w:sz w:val="24"/>
          <w:szCs w:val="24"/>
        </w:rPr>
        <w:t>https://www.shiyanjia.com</w:t>
      </w:r>
      <w:r>
        <w:rPr>
          <w:rStyle w:val="7"/>
          <w:rFonts w:hint="eastAsia" w:ascii="宋体" w:hAnsi="宋体" w:eastAsia="宋体"/>
          <w:sz w:val="24"/>
          <w:szCs w:val="24"/>
        </w:rPr>
        <w:fldChar w:fldCharType="end"/>
      </w:r>
    </w:p>
    <w:p>
      <w:pPr>
        <w:widowControl/>
        <w:jc w:val="center"/>
        <w:rPr>
          <w:rFonts w:ascii="宋体" w:hAnsi="宋体" w:eastAsia="宋体"/>
          <w:color w:val="F79646" w:themeColor="accent6"/>
          <w:sz w:val="24"/>
          <w:szCs w:val="24"/>
        </w:rPr>
      </w:pPr>
    </w:p>
    <w:p>
      <w:pPr>
        <w:widowControl/>
        <w:rPr>
          <w:rFonts w:ascii="宋体" w:hAnsi="宋体" w:eastAsia="宋体" w:cs="宋体"/>
          <w:color w:val="333333"/>
          <w:kern w:val="0"/>
          <w:sz w:val="24"/>
          <w:szCs w:val="24"/>
        </w:rPr>
      </w:pPr>
      <w:r>
        <w:rPr>
          <w:rFonts w:hint="eastAsia" w:ascii="宋体" w:hAnsi="宋体" w:eastAsia="宋体" w:cs="宋体"/>
          <w:color w:val="F79646" w:themeColor="accent6"/>
          <w:kern w:val="0"/>
          <w:sz w:val="24"/>
          <w:szCs w:val="24"/>
        </w:rPr>
        <w:t>科学指南针</w:t>
      </w:r>
      <w:r>
        <w:rPr>
          <w:rFonts w:hint="eastAsia" w:ascii="宋体" w:hAnsi="宋体" w:eastAsia="宋体" w:cs="宋体"/>
          <w:color w:val="333333"/>
          <w:kern w:val="0"/>
          <w:sz w:val="24"/>
          <w:szCs w:val="24"/>
        </w:rPr>
        <w:t>是面向广大科研工作者的材料类分析测试服务平台：</w:t>
      </w:r>
    </w:p>
    <w:p>
      <w:pPr>
        <w:widowControl/>
        <w:rPr>
          <w:rFonts w:ascii="宋体" w:hAnsi="宋体" w:eastAsia="宋体" w:cs="宋体"/>
          <w:color w:val="333333"/>
          <w:kern w:val="0"/>
          <w:sz w:val="24"/>
          <w:szCs w:val="24"/>
        </w:rPr>
      </w:pPr>
      <w:r>
        <w:rPr>
          <w:rFonts w:hint="eastAsia" w:ascii="宋体" w:hAnsi="宋体" w:eastAsia="宋体" w:cs="宋体"/>
          <w:color w:val="F79646" w:themeColor="accent6"/>
          <w:kern w:val="0"/>
          <w:sz w:val="24"/>
          <w:szCs w:val="24"/>
        </w:rPr>
        <w:t>优质低价</w:t>
      </w:r>
      <w:r>
        <w:rPr>
          <w:rFonts w:hint="eastAsia" w:ascii="宋体" w:hAnsi="宋体" w:eastAsia="宋体" w:cs="宋体"/>
          <w:color w:val="333333"/>
          <w:kern w:val="0"/>
          <w:sz w:val="24"/>
          <w:szCs w:val="24"/>
        </w:rPr>
        <w:t>——提供高质量研发过程测试服务，价格低于传统测试服务机构；</w:t>
      </w:r>
    </w:p>
    <w:p>
      <w:pPr>
        <w:widowControl/>
        <w:rPr>
          <w:rFonts w:ascii="宋体" w:hAnsi="宋体" w:eastAsia="宋体" w:cs="宋体"/>
          <w:color w:val="333333"/>
          <w:kern w:val="0"/>
          <w:sz w:val="24"/>
          <w:szCs w:val="24"/>
        </w:rPr>
      </w:pPr>
      <w:r>
        <w:rPr>
          <w:rFonts w:hint="eastAsia" w:ascii="宋体" w:hAnsi="宋体" w:eastAsia="宋体" w:cs="宋体"/>
          <w:color w:val="F79646" w:themeColor="accent6"/>
          <w:kern w:val="0"/>
          <w:sz w:val="24"/>
          <w:szCs w:val="24"/>
        </w:rPr>
        <w:t>专业，高效</w:t>
      </w:r>
      <w:r>
        <w:rPr>
          <w:rFonts w:hint="eastAsia" w:ascii="宋体" w:hAnsi="宋体" w:eastAsia="宋体" w:cs="宋体"/>
          <w:color w:val="333333"/>
          <w:kern w:val="0"/>
          <w:sz w:val="24"/>
          <w:szCs w:val="24"/>
        </w:rPr>
        <w:t>——每台合作设备都有经验丰富的专业测试老师操作，保证测试过程专业、结果准确；</w:t>
      </w:r>
    </w:p>
    <w:p>
      <w:pPr>
        <w:widowControl/>
        <w:rPr>
          <w:rFonts w:ascii="宋体" w:hAnsi="宋体" w:eastAsia="宋体" w:cs="宋体"/>
          <w:color w:val="333333"/>
          <w:kern w:val="0"/>
          <w:sz w:val="24"/>
          <w:szCs w:val="24"/>
        </w:rPr>
      </w:pPr>
      <w:r>
        <w:rPr>
          <w:rFonts w:hint="eastAsia" w:ascii="宋体" w:hAnsi="宋体" w:eastAsia="宋体" w:cs="宋体"/>
          <w:color w:val="F79646" w:themeColor="accent6"/>
          <w:kern w:val="0"/>
          <w:sz w:val="24"/>
          <w:szCs w:val="24"/>
        </w:rPr>
        <w:t>覆盖全国的服务网络</w:t>
      </w:r>
      <w:r>
        <w:rPr>
          <w:rFonts w:hint="eastAsia" w:ascii="宋体" w:hAnsi="宋体" w:eastAsia="宋体" w:cs="宋体"/>
          <w:color w:val="333333"/>
          <w:kern w:val="0"/>
          <w:sz w:val="24"/>
          <w:szCs w:val="24"/>
        </w:rPr>
        <w:t>——在19个主要城市设立了服务点，确保服务更优质；</w:t>
      </w:r>
    </w:p>
    <w:p>
      <w:pPr>
        <w:widowControl/>
        <w:rPr>
          <w:rFonts w:ascii="宋体" w:hAnsi="宋体" w:eastAsia="宋体" w:cs="宋体"/>
          <w:color w:val="333333"/>
          <w:kern w:val="0"/>
          <w:sz w:val="24"/>
          <w:szCs w:val="24"/>
        </w:rPr>
      </w:pPr>
      <w:r>
        <w:rPr>
          <w:rFonts w:hint="eastAsia" w:ascii="宋体" w:hAnsi="宋体" w:eastAsia="宋体" w:cs="宋体"/>
          <w:color w:val="F79646" w:themeColor="accent6"/>
          <w:kern w:val="0"/>
          <w:sz w:val="24"/>
          <w:szCs w:val="24"/>
        </w:rPr>
        <w:t>绝对保密</w:t>
      </w:r>
      <w:r>
        <w:rPr>
          <w:rFonts w:hint="eastAsia" w:ascii="宋体" w:hAnsi="宋体" w:eastAsia="宋体" w:cs="宋体"/>
          <w:color w:val="333333"/>
          <w:kern w:val="0"/>
          <w:sz w:val="24"/>
          <w:szCs w:val="24"/>
        </w:rPr>
        <w:t>——测试信息及结果不泄露；</w:t>
      </w:r>
    </w:p>
    <w:p>
      <w:pPr>
        <w:widowControl/>
        <w:rPr>
          <w:rFonts w:ascii="宋体" w:hAnsi="宋体" w:eastAsia="宋体" w:cs="宋体"/>
          <w:color w:val="333333"/>
          <w:kern w:val="0"/>
          <w:sz w:val="24"/>
          <w:szCs w:val="24"/>
        </w:rPr>
      </w:pPr>
      <w:r>
        <w:rPr>
          <w:rFonts w:hint="eastAsia" w:ascii="宋体" w:hAnsi="宋体" w:eastAsia="宋体" w:cs="宋体"/>
          <w:color w:val="F79646" w:themeColor="accent6"/>
          <w:kern w:val="0"/>
          <w:sz w:val="24"/>
          <w:szCs w:val="24"/>
        </w:rPr>
        <w:t>服务无忧</w:t>
      </w:r>
      <w:r>
        <w:rPr>
          <w:rFonts w:hint="eastAsia" w:ascii="宋体" w:hAnsi="宋体" w:eastAsia="宋体" w:cs="宋体"/>
          <w:color w:val="333333"/>
          <w:kern w:val="0"/>
          <w:sz w:val="24"/>
          <w:szCs w:val="24"/>
        </w:rPr>
        <w:t>——技术团队全部拥有硕士以上学历学位，精准对接。</w:t>
      </w:r>
    </w:p>
    <w:p>
      <w:pPr>
        <w:rPr>
          <w:rFonts w:ascii="宋体" w:hAnsi="宋体" w:eastAsia="宋体"/>
          <w:sz w:val="24"/>
          <w:szCs w:val="24"/>
        </w:rPr>
      </w:pPr>
    </w:p>
    <w:p>
      <w:pPr>
        <w:rPr>
          <w:rFonts w:ascii="宋体" w:hAnsi="宋体" w:eastAsia="宋体"/>
          <w:sz w:val="24"/>
          <w:szCs w:val="24"/>
        </w:rPr>
      </w:pPr>
      <w:r>
        <w:rPr>
          <w:rFonts w:hint="eastAsia" w:ascii="宋体" w:hAnsi="宋体" w:eastAsia="宋体"/>
          <w:sz w:val="24"/>
          <w:szCs w:val="24"/>
        </w:rPr>
        <w:t>关于科学指南针</w:t>
      </w:r>
    </w:p>
    <w:p>
      <w:pPr>
        <w:pStyle w:val="11"/>
        <w:numPr>
          <w:ilvl w:val="0"/>
          <w:numId w:val="1"/>
        </w:numPr>
        <w:ind w:left="5250" w:firstLineChars="0"/>
        <w:rPr>
          <w:rFonts w:ascii="宋体" w:hAnsi="宋体" w:eastAsia="宋体"/>
          <w:sz w:val="24"/>
          <w:szCs w:val="24"/>
        </w:rPr>
      </w:pPr>
      <w:r>
        <w:rPr>
          <w:rFonts w:ascii="宋体" w:hAnsi="宋体" w:eastAsia="宋体"/>
          <w:sz w:val="24"/>
          <w:szCs w:val="24"/>
        </w:rPr>
        <w:t>2015年 公司注册成立；</w:t>
      </w:r>
    </w:p>
    <w:p>
      <w:pPr>
        <w:pStyle w:val="11"/>
        <w:numPr>
          <w:ilvl w:val="0"/>
          <w:numId w:val="1"/>
        </w:numPr>
        <w:ind w:left="5250" w:firstLineChars="0"/>
        <w:rPr>
          <w:rFonts w:ascii="宋体" w:hAnsi="宋体" w:eastAsia="宋体"/>
          <w:sz w:val="24"/>
          <w:szCs w:val="24"/>
        </w:rPr>
      </w:pPr>
      <w:r>
        <w:rPr>
          <w:rFonts w:ascii="宋体" w:hAnsi="宋体" w:eastAsia="宋体"/>
          <w:sz w:val="24"/>
          <w:szCs w:val="24"/>
        </w:rPr>
        <w:t>2016年 入驻启迪之星（上海），完成种子轮融资，同时不断更新产品线；</w:t>
      </w:r>
    </w:p>
    <w:p>
      <w:pPr>
        <w:pStyle w:val="11"/>
        <w:numPr>
          <w:ilvl w:val="0"/>
          <w:numId w:val="1"/>
        </w:numPr>
        <w:ind w:left="5250" w:firstLineChars="0"/>
        <w:rPr>
          <w:rFonts w:ascii="宋体" w:hAnsi="宋体" w:eastAsia="宋体"/>
          <w:sz w:val="24"/>
          <w:szCs w:val="24"/>
        </w:rPr>
      </w:pPr>
      <w:r>
        <w:rPr>
          <w:rFonts w:ascii="宋体" w:hAnsi="宋体" w:eastAsia="宋体"/>
          <w:sz w:val="24"/>
          <w:szCs w:val="24"/>
        </w:rPr>
        <w:t>2017年 获得来自启迪之星创投等机构的天使轮投资；</w:t>
      </w:r>
    </w:p>
    <w:p>
      <w:pPr>
        <w:pStyle w:val="11"/>
        <w:numPr>
          <w:ilvl w:val="0"/>
          <w:numId w:val="1"/>
        </w:numPr>
        <w:ind w:left="5250" w:firstLineChars="0"/>
        <w:rPr>
          <w:rFonts w:ascii="宋体" w:hAnsi="宋体" w:eastAsia="宋体"/>
          <w:sz w:val="24"/>
          <w:szCs w:val="24"/>
        </w:rPr>
      </w:pPr>
      <w:r>
        <w:rPr>
          <w:rFonts w:ascii="宋体" w:hAnsi="宋体" w:eastAsia="宋体"/>
          <w:sz w:val="24"/>
          <w:szCs w:val="24"/>
        </w:rPr>
        <w:t>2018年 平台总订单量突破15万单，用户数达到10万人</w:t>
      </w:r>
      <w:r>
        <w:rPr>
          <w:rFonts w:hint="eastAsia" w:ascii="宋体" w:hAnsi="宋体" w:eastAsia="宋体"/>
          <w:sz w:val="24"/>
          <w:szCs w:val="24"/>
        </w:rPr>
        <w:t>；</w:t>
      </w:r>
    </w:p>
    <w:p>
      <w:pPr>
        <w:pStyle w:val="11"/>
        <w:numPr>
          <w:ilvl w:val="0"/>
          <w:numId w:val="1"/>
        </w:numPr>
        <w:ind w:left="5250" w:firstLineChars="0"/>
        <w:rPr>
          <w:rFonts w:ascii="宋体" w:hAnsi="宋体" w:eastAsia="宋体"/>
          <w:sz w:val="24"/>
          <w:szCs w:val="24"/>
        </w:rPr>
      </w:pPr>
      <w:r>
        <w:rPr>
          <w:rFonts w:hint="eastAsia" w:ascii="宋体" w:hAnsi="宋体" w:eastAsia="宋体"/>
          <w:sz w:val="24"/>
          <w:szCs w:val="24"/>
        </w:rPr>
        <w:t>2019年 平台总样品量超过60万个，用户数达到20万人。</w:t>
      </w:r>
    </w:p>
    <w:p>
      <w:pPr>
        <w:rPr>
          <w:rFonts w:ascii="宋体" w:hAnsi="宋体" w:eastAsia="宋体"/>
          <w:sz w:val="24"/>
          <w:szCs w:val="24"/>
        </w:rPr>
      </w:pPr>
    </w:p>
    <w:p>
      <w:pPr>
        <w:rPr>
          <w:rFonts w:ascii="宋体" w:hAnsi="宋体" w:eastAsia="宋体"/>
          <w:sz w:val="24"/>
          <w:szCs w:val="24"/>
        </w:rPr>
      </w:pPr>
      <w:r>
        <w:rPr>
          <w:rFonts w:hint="eastAsia" w:ascii="宋体" w:hAnsi="宋体" w:eastAsia="宋体"/>
          <w:sz w:val="24"/>
          <w:szCs w:val="24"/>
        </w:rPr>
        <w:t>科学指南针的基本情况？</w:t>
      </w:r>
    </w:p>
    <w:p>
      <w:pPr>
        <w:rPr>
          <w:rFonts w:ascii="宋体" w:hAnsi="宋体" w:eastAsia="宋体"/>
          <w:sz w:val="24"/>
          <w:szCs w:val="24"/>
        </w:rPr>
      </w:pPr>
      <w:r>
        <w:rPr>
          <w:rFonts w:hint="eastAsia" w:ascii="宋体" w:hAnsi="宋体" w:eastAsia="宋体"/>
          <w:sz w:val="24"/>
          <w:szCs w:val="24"/>
        </w:rPr>
        <w:t>科学指南针是一个科研仪器的预约平台以及实验室管理系统，他的业务模式是用户在平台预约科研仪器，实验室通过我们平台做预约的管理和内部仪器管理。科学指南针的供应方主要是实验室包括高校和测试中心以及企业的实验室。用户主要都是高校的科研人员以及企业的研发人员。</w:t>
      </w:r>
    </w:p>
    <w:p>
      <w:pPr>
        <w:rPr>
          <w:rFonts w:ascii="宋体" w:hAnsi="宋体" w:eastAsia="宋体"/>
          <w:sz w:val="24"/>
          <w:szCs w:val="24"/>
        </w:rPr>
      </w:pPr>
    </w:p>
    <w:p>
      <w:pPr>
        <w:rPr>
          <w:rFonts w:ascii="宋体" w:hAnsi="宋体" w:eastAsia="宋体"/>
          <w:sz w:val="24"/>
          <w:szCs w:val="24"/>
        </w:rPr>
      </w:pPr>
      <w:r>
        <w:rPr>
          <w:rFonts w:hint="eastAsia" w:ascii="宋体" w:hAnsi="宋体" w:eastAsia="宋体"/>
          <w:sz w:val="24"/>
          <w:szCs w:val="24"/>
        </w:rPr>
        <w:t>科学指南针网站解决的问题？</w:t>
      </w:r>
    </w:p>
    <w:p>
      <w:pPr>
        <w:rPr>
          <w:rFonts w:ascii="宋体" w:hAnsi="宋体" w:eastAsia="宋体"/>
          <w:sz w:val="24"/>
          <w:szCs w:val="24"/>
        </w:rPr>
      </w:pPr>
      <w:r>
        <w:rPr>
          <w:rFonts w:ascii="宋体" w:hAnsi="宋体" w:eastAsia="宋体"/>
          <w:sz w:val="24"/>
          <w:szCs w:val="24"/>
        </w:rPr>
        <w:t>做实验时如果要预约一台显微镜，</w:t>
      </w:r>
      <w:r>
        <w:rPr>
          <w:rFonts w:hint="eastAsia" w:ascii="宋体" w:hAnsi="宋体" w:eastAsia="宋体"/>
          <w:sz w:val="24"/>
          <w:szCs w:val="24"/>
        </w:rPr>
        <w:t>可能</w:t>
      </w:r>
      <w:r>
        <w:rPr>
          <w:rFonts w:ascii="宋体" w:hAnsi="宋体" w:eastAsia="宋体"/>
          <w:sz w:val="24"/>
          <w:szCs w:val="24"/>
        </w:rPr>
        <w:t>需要排队排半个月才能排到，在这个过程中会耽误非常多时间。通过我们平台，同学可以马上找到空余闲置的仪器，并且能在短时间内完成这个实验。从供应商来看，有些实验室一周一台仪器都没有人使用，现在我们能提高仪器的使用率。</w:t>
      </w:r>
    </w:p>
    <w:p>
      <w:pPr>
        <w:rPr>
          <w:rFonts w:ascii="宋体" w:hAnsi="宋体" w:eastAsia="宋体"/>
          <w:sz w:val="24"/>
          <w:szCs w:val="24"/>
        </w:rPr>
      </w:pPr>
    </w:p>
    <w:p>
      <w:pPr>
        <w:rPr>
          <w:rFonts w:ascii="宋体" w:hAnsi="宋体" w:eastAsia="宋体"/>
          <w:sz w:val="24"/>
          <w:szCs w:val="24"/>
        </w:rPr>
      </w:pPr>
      <w:r>
        <w:rPr>
          <w:rFonts w:hint="eastAsia" w:ascii="宋体" w:hAnsi="宋体" w:eastAsia="宋体"/>
          <w:sz w:val="24"/>
          <w:szCs w:val="24"/>
        </w:rPr>
        <w:t>科学指南针平台如何呈现？</w:t>
      </w:r>
    </w:p>
    <w:p>
      <w:pPr>
        <w:rPr>
          <w:rFonts w:ascii="宋体" w:hAnsi="宋体" w:eastAsia="宋体"/>
          <w:sz w:val="24"/>
          <w:szCs w:val="24"/>
        </w:rPr>
      </w:pPr>
      <w:r>
        <w:rPr>
          <w:rFonts w:hint="eastAsia" w:ascii="宋体" w:hAnsi="宋体" w:eastAsia="宋体"/>
          <w:sz w:val="24"/>
          <w:szCs w:val="24"/>
        </w:rPr>
        <w:t>科学指南针拥有一个微信服务号，同时还有一个</w:t>
      </w:r>
      <w:r>
        <w:rPr>
          <w:rFonts w:ascii="宋体" w:hAnsi="宋体" w:eastAsia="宋体"/>
          <w:sz w:val="24"/>
          <w:szCs w:val="24"/>
        </w:rPr>
        <w:t>PC端。主要是包括用户的预约系统以及实验室的后台管理系统。我们前期利用地推来获得更多用户，现在我们通过实验室仪器管理系统，希望能通过实验室管理仪器登记系统来推广我们的用户，抓住B端用户来获取C端用户。</w:t>
      </w:r>
    </w:p>
    <w:p>
      <w:pPr>
        <w:rPr>
          <w:rFonts w:ascii="宋体" w:hAnsi="宋体" w:eastAsia="宋体"/>
          <w:sz w:val="24"/>
          <w:szCs w:val="24"/>
        </w:rPr>
      </w:pPr>
    </w:p>
    <w:p>
      <w:pPr>
        <w:rPr>
          <w:rFonts w:ascii="宋体" w:hAnsi="宋体" w:eastAsia="宋体"/>
          <w:sz w:val="24"/>
          <w:szCs w:val="24"/>
        </w:rPr>
      </w:pPr>
      <w:r>
        <w:drawing>
          <wp:inline distT="0" distB="0" distL="0" distR="0">
            <wp:extent cx="5274310" cy="78549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5274310" cy="785495"/>
                    </a:xfrm>
                    <a:prstGeom prst="rect">
                      <a:avLst/>
                    </a:prstGeom>
                  </pic:spPr>
                </pic:pic>
              </a:graphicData>
            </a:graphic>
          </wp:inline>
        </w:drawing>
      </w:r>
    </w:p>
    <w:p>
      <w:pPr>
        <w:widowControl/>
        <w:jc w:val="left"/>
        <w:rPr>
          <w:rFonts w:ascii="宋体" w:hAnsi="宋体" w:eastAsia="宋体" w:cs="宋体"/>
          <w:kern w:val="0"/>
          <w:sz w:val="24"/>
          <w:szCs w:val="24"/>
        </w:rPr>
      </w:pPr>
      <w:r>
        <w:rPr>
          <w:rFonts w:ascii="宋体" w:hAnsi="宋体" w:eastAsia="宋体" w:cs="宋体"/>
          <w:b/>
          <w:bCs/>
          <w:kern w:val="0"/>
          <w:sz w:val="24"/>
          <w:szCs w:val="24"/>
        </w:rPr>
        <w:t>这</w:t>
      </w:r>
      <w:r>
        <w:rPr>
          <w:rFonts w:hint="eastAsia" w:ascii="宋体" w:hAnsi="宋体" w:eastAsia="宋体" w:cs="宋体"/>
          <w:b/>
          <w:bCs/>
          <w:kern w:val="0"/>
          <w:sz w:val="24"/>
          <w:szCs w:val="24"/>
        </w:rPr>
        <w:t>几</w:t>
      </w:r>
      <w:r>
        <w:rPr>
          <w:rFonts w:ascii="宋体" w:hAnsi="宋体" w:eastAsia="宋体" w:cs="宋体"/>
          <w:b/>
          <w:bCs/>
          <w:kern w:val="0"/>
          <w:sz w:val="24"/>
          <w:szCs w:val="24"/>
        </w:rPr>
        <w:t>年，我们……</w:t>
      </w:r>
      <w:r>
        <mc:AlternateContent>
          <mc:Choice Requires="wps">
            <w:drawing>
              <wp:inline distT="0" distB="0" distL="114300" distR="114300">
                <wp:extent cx="304800" cy="304800"/>
                <wp:effectExtent l="0" t="0" r="0" b="0"/>
                <wp:docPr id="1" name="矩形 1" descr="https://mmbiz.qpic.cn/mmbiz_jpg/RaNu88suiaCfecZH1QRckh5OCWEF3wNxOcxibw0mbiccRAMEYoRCE6sEYGewBIicujnszkiabCiavic6dVs8dGUbs4BZw/640?wx_fmt=jpeg&amp;tp=webp&amp;wxfrom=5&amp;wx_lazy=1&amp;wx_co=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ffectLst/>
                      </wps:spPr>
                      <wps:txbx>
                        <w:txbxContent>
                          <w:p/>
                        </w:txbxContent>
                      </wps:txbx>
                      <wps:bodyPr rot="0" vert="horz" wrap="square" lIns="91440" tIns="45720" rIns="91440" bIns="45720" anchor="t" anchorCtr="0" upright="1">
                        <a:noAutofit/>
                      </wps:bodyPr>
                    </wps:wsp>
                  </a:graphicData>
                </a:graphic>
              </wp:inline>
            </w:drawing>
          </mc:Choice>
          <mc:Fallback>
            <w:pict>
              <v:rect id="_x0000_s1026" o:spid="_x0000_s1026" o:spt="1" alt="https://mmbiz.qpic.cn/mmbiz_jpg/RaNu88suiaCfecZH1QRckh5OCWEF3wNxOcxibw0mbiccRAMEYoRCE6sEYGewBIicujnszkiabCiavic6dVs8dGUbs4BZw/640?wx_fmt=jpeg&amp;tp=webp&amp;wxfrom=5&amp;wx_lazy=1&amp;wx_co=1"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B8yWdNIAAAADAQAADwAAAAAAAAABACAAAAAiAAAAZHJzL2Rvd25yZXYueG1sUEsB&#10;AhQAFAAAAAgAh07iQCI0YSamAgAA8QQAAA4AAAAAAAAAAQAgAAAAIQEAAGRycy9lMm9Eb2MueG1s&#10;UEsFBgAAAAAGAAYAWQEAADkGAAAAAA==&#10;">
                <v:fill on="f" focussize="0,0"/>
                <v:stroke on="f"/>
                <v:imagedata o:title=""/>
                <o:lock v:ext="edit" aspectratio="t"/>
                <v:textbox>
                  <w:txbxContent>
                    <w:p/>
                  </w:txbxContent>
                </v:textbox>
                <w10:wrap type="none"/>
                <w10:anchorlock/>
              </v:rect>
            </w:pict>
          </mc:Fallback>
        </mc:AlternateContent>
      </w:r>
    </w:p>
    <w:p>
      <w:pPr>
        <w:widowControl/>
        <w:numPr>
          <w:ilvl w:val="0"/>
          <w:numId w:val="2"/>
        </w:numPr>
        <w:ind w:left="0"/>
        <w:jc w:val="left"/>
        <w:rPr>
          <w:rFonts w:ascii="宋体" w:hAnsi="宋体" w:eastAsia="宋体" w:cs="宋体"/>
          <w:kern w:val="0"/>
          <w:sz w:val="24"/>
          <w:szCs w:val="24"/>
        </w:rPr>
      </w:pPr>
      <w:r>
        <w:rPr>
          <w:rFonts w:ascii="宋体" w:hAnsi="宋体" w:eastAsia="宋体" w:cs="宋体"/>
          <w:kern w:val="0"/>
          <w:sz w:val="24"/>
          <w:szCs w:val="24"/>
        </w:rPr>
        <w:t>在</w:t>
      </w:r>
      <w:r>
        <w:rPr>
          <w:rFonts w:hint="eastAsia" w:ascii="宋体" w:hAnsi="宋体" w:eastAsia="宋体" w:cs="宋体"/>
          <w:b/>
          <w:bCs/>
          <w:color w:val="5F9CEF"/>
          <w:kern w:val="0"/>
          <w:sz w:val="24"/>
          <w:szCs w:val="24"/>
        </w:rPr>
        <w:t>23</w:t>
      </w:r>
      <w:r>
        <w:rPr>
          <w:rFonts w:ascii="宋体" w:hAnsi="宋体" w:eastAsia="宋体" w:cs="宋体"/>
          <w:kern w:val="0"/>
          <w:sz w:val="24"/>
          <w:szCs w:val="24"/>
        </w:rPr>
        <w:t>个地区建立了办公室</w:t>
      </w:r>
    </w:p>
    <w:p>
      <w:pPr>
        <w:widowControl/>
        <w:numPr>
          <w:ilvl w:val="0"/>
          <w:numId w:val="2"/>
        </w:numPr>
        <w:ind w:left="0"/>
        <w:jc w:val="left"/>
        <w:rPr>
          <w:rFonts w:ascii="宋体" w:hAnsi="宋体" w:eastAsia="宋体" w:cs="宋体"/>
          <w:kern w:val="0"/>
          <w:sz w:val="24"/>
          <w:szCs w:val="24"/>
        </w:rPr>
      </w:pPr>
      <w:r>
        <w:rPr>
          <w:rFonts w:hint="eastAsia" w:ascii="宋体" w:hAnsi="宋体" w:eastAsia="宋体" w:cs="宋体"/>
          <w:kern w:val="0"/>
          <w:sz w:val="24"/>
          <w:szCs w:val="24"/>
        </w:rPr>
        <w:t>创建了</w:t>
      </w:r>
      <w:r>
        <w:rPr>
          <w:rFonts w:hint="eastAsia" w:ascii="宋体" w:hAnsi="宋体" w:eastAsia="宋体" w:cs="宋体"/>
          <w:b/>
          <w:color w:val="4F81BD" w:themeColor="accent1"/>
          <w:kern w:val="0"/>
          <w:sz w:val="24"/>
          <w:szCs w:val="24"/>
        </w:rPr>
        <w:t>5</w:t>
      </w:r>
      <w:r>
        <w:rPr>
          <w:rFonts w:hint="eastAsia" w:ascii="宋体" w:hAnsi="宋体" w:eastAsia="宋体" w:cs="宋体"/>
          <w:kern w:val="0"/>
          <w:sz w:val="24"/>
          <w:szCs w:val="24"/>
        </w:rPr>
        <w:t>个自营实验室</w:t>
      </w:r>
    </w:p>
    <w:p>
      <w:pPr>
        <w:widowControl/>
        <w:numPr>
          <w:ilvl w:val="0"/>
          <w:numId w:val="2"/>
        </w:numPr>
        <w:ind w:left="0"/>
        <w:jc w:val="left"/>
        <w:rPr>
          <w:rFonts w:ascii="宋体" w:hAnsi="宋体" w:eastAsia="宋体" w:cs="宋体"/>
          <w:kern w:val="0"/>
          <w:sz w:val="24"/>
          <w:szCs w:val="24"/>
        </w:rPr>
      </w:pPr>
      <w:r>
        <w:rPr>
          <w:rFonts w:ascii="宋体" w:hAnsi="宋体" w:eastAsia="宋体" w:cs="宋体"/>
          <w:kern w:val="0"/>
          <w:sz w:val="24"/>
          <w:szCs w:val="24"/>
        </w:rPr>
        <w:t>服务用户分布在国内</w:t>
      </w:r>
      <w:r>
        <w:rPr>
          <w:rFonts w:ascii="宋体" w:hAnsi="宋体" w:eastAsia="宋体" w:cs="宋体"/>
          <w:b/>
          <w:bCs/>
          <w:color w:val="5F9CEF"/>
          <w:kern w:val="0"/>
          <w:sz w:val="24"/>
          <w:szCs w:val="24"/>
        </w:rPr>
        <w:t>33</w:t>
      </w:r>
      <w:r>
        <w:rPr>
          <w:rFonts w:ascii="宋体" w:hAnsi="宋体" w:eastAsia="宋体" w:cs="宋体"/>
          <w:kern w:val="0"/>
          <w:sz w:val="24"/>
          <w:szCs w:val="24"/>
        </w:rPr>
        <w:t>个省市自治区</w:t>
      </w:r>
    </w:p>
    <w:p>
      <w:pPr>
        <w:widowControl/>
        <w:numPr>
          <w:ilvl w:val="0"/>
          <w:numId w:val="2"/>
        </w:numPr>
        <w:ind w:left="0"/>
        <w:jc w:val="left"/>
        <w:rPr>
          <w:rFonts w:ascii="宋体" w:hAnsi="宋体" w:eastAsia="宋体" w:cs="宋体"/>
          <w:kern w:val="0"/>
          <w:sz w:val="24"/>
          <w:szCs w:val="24"/>
        </w:rPr>
      </w:pPr>
      <w:r>
        <w:rPr>
          <w:rFonts w:ascii="宋体" w:hAnsi="宋体" w:eastAsia="宋体" w:cs="宋体"/>
          <w:kern w:val="0"/>
          <w:sz w:val="24"/>
          <w:szCs w:val="24"/>
        </w:rPr>
        <w:t>服务了</w:t>
      </w:r>
      <w:r>
        <w:rPr>
          <w:rFonts w:hint="eastAsia" w:ascii="宋体" w:hAnsi="宋体" w:eastAsia="宋体" w:cs="宋体"/>
          <w:b/>
          <w:bCs/>
          <w:color w:val="5F9CEF"/>
          <w:kern w:val="0"/>
          <w:sz w:val="24"/>
          <w:szCs w:val="24"/>
        </w:rPr>
        <w:t>4</w:t>
      </w:r>
      <w:r>
        <w:rPr>
          <w:rFonts w:ascii="宋体" w:hAnsi="宋体" w:eastAsia="宋体" w:cs="宋体"/>
          <w:b/>
          <w:bCs/>
          <w:color w:val="5F9CEF"/>
          <w:kern w:val="0"/>
          <w:sz w:val="24"/>
          <w:szCs w:val="24"/>
        </w:rPr>
        <w:t>85</w:t>
      </w:r>
      <w:r>
        <w:rPr>
          <w:rFonts w:ascii="宋体" w:hAnsi="宋体" w:eastAsia="宋体" w:cs="宋体"/>
          <w:kern w:val="0"/>
          <w:sz w:val="24"/>
          <w:szCs w:val="24"/>
        </w:rPr>
        <w:t>所高校</w:t>
      </w:r>
    </w:p>
    <w:p>
      <w:pPr>
        <w:widowControl/>
        <w:numPr>
          <w:ilvl w:val="0"/>
          <w:numId w:val="2"/>
        </w:numPr>
        <w:ind w:left="0"/>
        <w:jc w:val="left"/>
        <w:rPr>
          <w:rFonts w:ascii="宋体" w:hAnsi="宋体" w:eastAsia="宋体" w:cs="宋体"/>
          <w:kern w:val="0"/>
          <w:sz w:val="24"/>
          <w:szCs w:val="24"/>
        </w:rPr>
      </w:pPr>
      <w:r>
        <w:rPr>
          <w:rFonts w:ascii="宋体" w:hAnsi="宋体" w:eastAsia="宋体" w:cs="宋体"/>
          <w:kern w:val="0"/>
          <w:sz w:val="24"/>
          <w:szCs w:val="24"/>
        </w:rPr>
        <w:t>在其中</w:t>
      </w:r>
      <w:r>
        <w:rPr>
          <w:rFonts w:hint="eastAsia" w:ascii="宋体" w:hAnsi="宋体" w:eastAsia="宋体" w:cs="宋体"/>
          <w:b/>
          <w:bCs/>
          <w:color w:val="5F9CEF"/>
          <w:kern w:val="0"/>
          <w:sz w:val="24"/>
          <w:szCs w:val="24"/>
        </w:rPr>
        <w:t>18</w:t>
      </w:r>
      <w:r>
        <w:rPr>
          <w:rFonts w:ascii="宋体" w:hAnsi="宋体" w:eastAsia="宋体" w:cs="宋体"/>
          <w:b/>
          <w:bCs/>
          <w:color w:val="5F9CEF"/>
          <w:kern w:val="0"/>
          <w:sz w:val="24"/>
          <w:szCs w:val="24"/>
        </w:rPr>
        <w:t>2</w:t>
      </w:r>
      <w:r>
        <w:rPr>
          <w:rFonts w:ascii="宋体" w:hAnsi="宋体" w:eastAsia="宋体" w:cs="宋体"/>
          <w:kern w:val="0"/>
          <w:sz w:val="24"/>
          <w:szCs w:val="24"/>
        </w:rPr>
        <w:t>所重点理工类高校/研究机构提供上门取样服务</w:t>
      </w:r>
    </w:p>
    <w:p>
      <w:pPr>
        <w:widowControl/>
        <w:jc w:val="left"/>
        <w:rPr>
          <w:rFonts w:ascii="宋体" w:hAnsi="宋体" w:eastAsia="宋体" w:cs="宋体"/>
          <w:kern w:val="0"/>
          <w:sz w:val="24"/>
          <w:szCs w:val="24"/>
        </w:rPr>
      </w:pPr>
    </w:p>
    <w:p>
      <w:pPr>
        <w:widowControl/>
        <w:jc w:val="left"/>
        <w:rPr>
          <w:rFonts w:ascii="宋体" w:hAnsi="宋体" w:eastAsia="宋体" w:cs="宋体"/>
          <w:b/>
          <w:kern w:val="0"/>
          <w:sz w:val="24"/>
          <w:szCs w:val="24"/>
        </w:rPr>
      </w:pPr>
      <w:r>
        <w:rPr>
          <w:rFonts w:ascii="宋体" w:hAnsi="宋体" w:eastAsia="宋体" w:cs="宋体"/>
          <w:b/>
          <w:kern w:val="0"/>
          <w:sz w:val="24"/>
          <w:szCs w:val="24"/>
        </w:rPr>
        <w:t>另外，我们还</w:t>
      </w:r>
    </w:p>
    <w:p>
      <w:pPr>
        <w:widowControl/>
        <w:numPr>
          <w:ilvl w:val="0"/>
          <w:numId w:val="3"/>
        </w:numPr>
        <w:ind w:left="0"/>
        <w:jc w:val="left"/>
        <w:rPr>
          <w:rFonts w:ascii="宋体" w:hAnsi="宋体" w:eastAsia="宋体" w:cs="宋体"/>
          <w:kern w:val="0"/>
          <w:sz w:val="24"/>
          <w:szCs w:val="24"/>
        </w:rPr>
      </w:pPr>
      <w:r>
        <w:rPr>
          <w:rFonts w:ascii="宋体" w:hAnsi="宋体" w:eastAsia="宋体" w:cs="宋体"/>
          <w:kern w:val="0"/>
          <w:sz w:val="24"/>
          <w:szCs w:val="24"/>
        </w:rPr>
        <w:t>服务了</w:t>
      </w:r>
      <w:r>
        <w:rPr>
          <w:rFonts w:ascii="宋体" w:hAnsi="宋体" w:eastAsia="宋体" w:cs="宋体"/>
          <w:b/>
          <w:bCs/>
          <w:color w:val="5F9CEF"/>
          <w:kern w:val="0"/>
          <w:sz w:val="24"/>
          <w:szCs w:val="24"/>
        </w:rPr>
        <w:t>221</w:t>
      </w:r>
      <w:r>
        <w:rPr>
          <w:rFonts w:ascii="宋体" w:hAnsi="宋体" w:eastAsia="宋体" w:cs="宋体"/>
          <w:kern w:val="0"/>
          <w:sz w:val="24"/>
          <w:szCs w:val="24"/>
        </w:rPr>
        <w:t>个科研院所</w:t>
      </w:r>
    </w:p>
    <w:p>
      <w:pPr>
        <w:widowControl/>
        <w:numPr>
          <w:ilvl w:val="0"/>
          <w:numId w:val="3"/>
        </w:numPr>
        <w:ind w:left="0"/>
        <w:jc w:val="left"/>
        <w:rPr>
          <w:rFonts w:ascii="宋体" w:hAnsi="宋体" w:eastAsia="宋体" w:cs="宋体"/>
          <w:kern w:val="0"/>
          <w:sz w:val="24"/>
          <w:szCs w:val="24"/>
        </w:rPr>
      </w:pPr>
      <w:r>
        <w:rPr>
          <w:rFonts w:ascii="宋体" w:hAnsi="宋体" w:eastAsia="宋体" w:cs="宋体"/>
          <w:b/>
          <w:bCs/>
          <w:color w:val="5F9CEF"/>
          <w:kern w:val="0"/>
          <w:sz w:val="24"/>
          <w:szCs w:val="24"/>
        </w:rPr>
        <w:t>1200+</w:t>
      </w:r>
      <w:r>
        <w:rPr>
          <w:rFonts w:ascii="宋体" w:hAnsi="宋体" w:eastAsia="宋体" w:cs="宋体"/>
          <w:kern w:val="0"/>
          <w:sz w:val="24"/>
          <w:szCs w:val="24"/>
        </w:rPr>
        <w:t>家企业</w:t>
      </w:r>
    </w:p>
    <w:p>
      <w:pPr>
        <w:widowControl/>
        <w:jc w:val="center"/>
        <w:rPr>
          <w:rFonts w:ascii="Microsoft YaHei UI" w:hAnsi="Microsoft YaHei UI" w:eastAsia="Microsoft YaHei UI" w:cs="宋体"/>
          <w:color w:val="333333"/>
          <w:kern w:val="0"/>
          <w:sz w:val="26"/>
          <w:szCs w:val="26"/>
        </w:rPr>
      </w:pPr>
    </w:p>
    <w:p>
      <w:pPr>
        <w:rPr>
          <w:rFonts w:ascii="宋体" w:hAnsi="宋体" w:eastAsia="宋体"/>
          <w:sz w:val="24"/>
          <w:szCs w:val="24"/>
        </w:rPr>
      </w:pPr>
      <w:r>
        <w:rPr>
          <w:rFonts w:ascii="宋体" w:hAnsi="宋体" w:eastAsia="宋体"/>
          <w:sz w:val="24"/>
          <w:szCs w:val="24"/>
        </w:rPr>
        <w:t>2020年是极不平凡的一年，面对国内外严峻的疫情形势，我国经济发展水平于全球异军突起，逆势上扬，人民生活幸福安康，科研工作稳步推进。科学指南针业务也在大好的国内经济形势和科研发展状态中持续高歌猛进，在测试下单量、用户注册量、回访满意度等一系列重要指标中，同比、环比均实现持续稳定增长。</w:t>
      </w:r>
    </w:p>
    <w:p>
      <w:pPr>
        <w:rPr>
          <w:rFonts w:ascii="宋体" w:hAnsi="宋体" w:eastAsia="宋体"/>
          <w:sz w:val="24"/>
          <w:szCs w:val="24"/>
        </w:rPr>
      </w:pPr>
    </w:p>
    <w:p>
      <w:pPr>
        <w:rPr>
          <w:rFonts w:ascii="宋体" w:hAnsi="宋体" w:eastAsia="宋体"/>
          <w:sz w:val="24"/>
          <w:szCs w:val="24"/>
        </w:rPr>
      </w:pPr>
      <w:r>
        <w:rPr>
          <w:rFonts w:ascii="宋体" w:hAnsi="宋体" w:eastAsia="宋体"/>
          <w:sz w:val="24"/>
          <w:szCs w:val="24"/>
        </w:rPr>
        <w:t>因此科学指南针为了能够更好的向广大客户提供更优质的服务，本着长期诚信服务、良性发展、质量取胜的经营理念，不断扩大自营实验室的测试项目种类和规模面积。</w:t>
      </w:r>
      <w:r>
        <w:rPr>
          <w:rFonts w:ascii="宋体" w:hAnsi="宋体" w:eastAsia="宋体"/>
          <w:b/>
          <w:color w:val="4F81BD" w:themeColor="accent1"/>
          <w:sz w:val="24"/>
          <w:szCs w:val="24"/>
        </w:rPr>
        <w:t>目前已在成都、杭州、郑州、长沙等地拓展多个设备先进、师资雄厚的自营实验室，购买多台各型号仪器，其中XPS仪器4台、SEM测试仪器5台，并已稳定开展XPS、SEM等多项测试项目的自营服务和试点SEM测试云现场直播项目</w:t>
      </w:r>
      <w:r>
        <w:rPr>
          <w:rFonts w:ascii="宋体" w:hAnsi="宋体" w:eastAsia="宋体"/>
          <w:color w:val="4F81BD" w:themeColor="accent1"/>
          <w:sz w:val="24"/>
          <w:szCs w:val="24"/>
        </w:rPr>
        <w:t>。</w:t>
      </w:r>
      <w:r>
        <w:rPr>
          <w:rFonts w:ascii="宋体" w:hAnsi="宋体" w:eastAsia="宋体"/>
          <w:sz w:val="24"/>
          <w:szCs w:val="24"/>
        </w:rPr>
        <w:t>以上举措不但降低了项目的测试成本，也实现了测试全程可控，极大提高了服务质量、缩短了服务周期。</w:t>
      </w:r>
    </w:p>
    <w:p>
      <w:pPr>
        <w:widowControl/>
        <w:jc w:val="left"/>
        <w:rPr>
          <w:rFonts w:ascii="宋体" w:hAnsi="宋体" w:eastAsia="宋体" w:cs="宋体"/>
          <w:kern w:val="0"/>
          <w:sz w:val="24"/>
          <w:szCs w:val="24"/>
        </w:rPr>
      </w:pPr>
    </w:p>
    <w:p>
      <w:pPr>
        <w:widowControl/>
        <w:jc w:val="left"/>
        <w:rPr>
          <w:rFonts w:ascii="宋体" w:hAnsi="宋体" w:eastAsia="宋体" w:cs="宋体"/>
          <w:kern w:val="0"/>
          <w:sz w:val="24"/>
          <w:szCs w:val="24"/>
        </w:rPr>
      </w:pPr>
    </w:p>
    <w:p>
      <w:pPr>
        <w:widowControl/>
        <w:jc w:val="center"/>
        <w:rPr>
          <w:rFonts w:ascii="宋体" w:hAnsi="宋体" w:eastAsia="宋体" w:cs="宋体"/>
          <w:color w:val="F79646" w:themeColor="accent6"/>
          <w:kern w:val="0"/>
          <w:sz w:val="24"/>
          <w:szCs w:val="24"/>
        </w:rPr>
      </w:pPr>
      <w:r>
        <w:rPr>
          <w:rFonts w:hint="eastAsia" w:ascii="宋体" w:hAnsi="宋体" w:eastAsia="宋体" w:cs="宋体"/>
          <w:b/>
          <w:bCs/>
          <w:color w:val="F79646" w:themeColor="accent6"/>
          <w:kern w:val="0"/>
          <w:sz w:val="24"/>
          <w:szCs w:val="24"/>
        </w:rPr>
        <w:t>我们的优势</w:t>
      </w:r>
    </w:p>
    <w:p>
      <w:pPr>
        <w:widowControl/>
        <w:jc w:val="center"/>
        <w:rPr>
          <w:rFonts w:ascii="宋体" w:hAnsi="宋体" w:eastAsia="宋体" w:cs="宋体"/>
          <w:color w:val="333333"/>
          <w:kern w:val="0"/>
          <w:sz w:val="24"/>
          <w:szCs w:val="24"/>
        </w:rPr>
      </w:pPr>
    </w:p>
    <w:p>
      <w:pPr>
        <w:widowControl/>
        <w:jc w:val="center"/>
        <w:rPr>
          <w:rFonts w:ascii="宋体" w:hAnsi="宋体" w:eastAsia="宋体" w:cs="宋体"/>
          <w:color w:val="333333"/>
          <w:kern w:val="0"/>
          <w:sz w:val="24"/>
          <w:szCs w:val="24"/>
        </w:rPr>
      </w:pPr>
      <w:r>
        <w:rPr>
          <w:rFonts w:hint="eastAsia" w:ascii="宋体" w:hAnsi="宋体" w:eastAsia="宋体" w:cs="宋体"/>
          <w:b/>
          <w:bCs/>
          <w:color w:val="FF4C00"/>
          <w:kern w:val="0"/>
          <w:sz w:val="24"/>
          <w:szCs w:val="24"/>
        </w:rPr>
        <w:t>1.极致性价比，您无需比价</w:t>
      </w:r>
    </w:p>
    <w:p>
      <w:pPr>
        <w:widowControl/>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提供无需CMA/CNAS认证的研发过程检测服务，</w:t>
      </w:r>
    </w:p>
    <w:p>
      <w:pPr>
        <w:widowControl/>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成本远低于认证机构；</w:t>
      </w:r>
    </w:p>
    <w:p>
      <w:pPr>
        <w:widowControl/>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各地科研院所/高校闲置资源高效利用，</w:t>
      </w:r>
    </w:p>
    <w:p>
      <w:pPr>
        <w:widowControl/>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因为闲置，所以低价；</w:t>
      </w:r>
    </w:p>
    <w:p>
      <w:pPr>
        <w:widowControl/>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极低的测试价格，专业有保障的测试结果；</w:t>
      </w:r>
    </w:p>
    <w:p>
      <w:pPr>
        <w:widowControl/>
        <w:jc w:val="center"/>
        <w:rPr>
          <w:rFonts w:ascii="宋体" w:hAnsi="宋体" w:eastAsia="宋体" w:cs="宋体"/>
          <w:color w:val="333333"/>
          <w:kern w:val="0"/>
          <w:sz w:val="24"/>
          <w:szCs w:val="24"/>
        </w:rPr>
      </w:pPr>
    </w:p>
    <w:p>
      <w:pPr>
        <w:widowControl/>
        <w:jc w:val="center"/>
        <w:rPr>
          <w:rFonts w:ascii="宋体" w:hAnsi="宋体" w:eastAsia="宋体" w:cs="宋体"/>
          <w:color w:val="333333"/>
          <w:kern w:val="0"/>
          <w:sz w:val="24"/>
          <w:szCs w:val="24"/>
        </w:rPr>
      </w:pPr>
      <w:r>
        <w:rPr>
          <w:rFonts w:hint="eastAsia" w:ascii="宋体" w:hAnsi="宋体" w:eastAsia="宋体" w:cs="宋体"/>
          <w:b/>
          <w:bCs/>
          <w:color w:val="FF4C00"/>
          <w:kern w:val="0"/>
          <w:sz w:val="24"/>
          <w:szCs w:val="24"/>
        </w:rPr>
        <w:t>2.简化测试流程，提升工作效率</w:t>
      </w:r>
    </w:p>
    <w:p>
      <w:pPr>
        <w:widowControl/>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个人无需垫付，由学校学院统一管理支付；</w:t>
      </w:r>
    </w:p>
    <w:p>
      <w:pPr>
        <w:widowControl/>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账户统一管理开票，省去繁琐流程；</w:t>
      </w:r>
    </w:p>
    <w:p>
      <w:pPr>
        <w:widowControl/>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告别主动寻找各类测试资源，与各类服务提供商搞关系；</w:t>
      </w:r>
    </w:p>
    <w:p>
      <w:pPr>
        <w:widowControl/>
        <w:jc w:val="center"/>
        <w:rPr>
          <w:rFonts w:ascii="宋体" w:hAnsi="宋体" w:eastAsia="宋体" w:cs="宋体"/>
          <w:color w:val="333333"/>
          <w:kern w:val="0"/>
          <w:sz w:val="24"/>
          <w:szCs w:val="24"/>
        </w:rPr>
      </w:pPr>
    </w:p>
    <w:p>
      <w:pPr>
        <w:widowControl/>
        <w:jc w:val="center"/>
        <w:rPr>
          <w:rFonts w:ascii="宋体" w:hAnsi="宋体" w:eastAsia="宋体" w:cs="宋体"/>
          <w:color w:val="333333"/>
          <w:kern w:val="0"/>
          <w:sz w:val="24"/>
          <w:szCs w:val="24"/>
        </w:rPr>
      </w:pPr>
      <w:r>
        <w:rPr>
          <w:rFonts w:hint="eastAsia" w:ascii="宋体" w:hAnsi="宋体" w:eastAsia="宋体" w:cs="宋体"/>
          <w:b/>
          <w:bCs/>
          <w:color w:val="FF4C00"/>
          <w:kern w:val="0"/>
          <w:sz w:val="24"/>
          <w:szCs w:val="24"/>
        </w:rPr>
        <w:t>3.测试项目全面，满足测试需求</w:t>
      </w:r>
    </w:p>
    <w:p>
      <w:pPr>
        <w:widowControl/>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材料类测试项目全面，可满足您的绝大多数测试需求；</w:t>
      </w:r>
    </w:p>
    <w:p>
      <w:pPr>
        <w:widowControl/>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测试项目350项，且在不断扩充中；</w:t>
      </w:r>
    </w:p>
    <w:p>
      <w:pPr>
        <w:widowControl/>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高端球差电镜，TOF-SIMS等资源应有尽有；</w:t>
      </w:r>
    </w:p>
    <w:p>
      <w:pPr>
        <w:widowControl/>
        <w:shd w:val="clear" w:color="auto" w:fill="FFFFFF"/>
        <w:rPr>
          <w:rFonts w:ascii="宋体" w:hAnsi="宋体" w:eastAsia="宋体" w:cs="宋体"/>
          <w:color w:val="333333"/>
          <w:kern w:val="0"/>
          <w:sz w:val="24"/>
          <w:szCs w:val="24"/>
        </w:rPr>
      </w:pPr>
    </w:p>
    <w:p>
      <w:pPr>
        <w:widowControl/>
        <w:shd w:val="clear" w:color="auto" w:fill="FFFFFF"/>
        <w:rPr>
          <w:rFonts w:ascii="宋体" w:hAnsi="宋体" w:eastAsia="宋体" w:cs="宋体"/>
          <w:color w:val="333333"/>
          <w:kern w:val="0"/>
          <w:sz w:val="24"/>
          <w:szCs w:val="24"/>
        </w:rPr>
      </w:pPr>
    </w:p>
    <w:p>
      <w:pPr>
        <w:widowControl/>
        <w:jc w:val="center"/>
        <w:rPr>
          <w:rFonts w:ascii="宋体" w:hAnsi="宋体" w:eastAsia="宋体" w:cs="宋体"/>
          <w:color w:val="F79646" w:themeColor="accent6"/>
          <w:kern w:val="0"/>
          <w:sz w:val="24"/>
          <w:szCs w:val="24"/>
        </w:rPr>
      </w:pPr>
      <w:r>
        <w:rPr>
          <w:rFonts w:hint="eastAsia" w:ascii="宋体" w:hAnsi="宋体" w:eastAsia="宋体" w:cs="宋体"/>
          <w:b/>
          <w:bCs/>
          <w:color w:val="F79646" w:themeColor="accent6"/>
          <w:kern w:val="0"/>
          <w:sz w:val="24"/>
          <w:szCs w:val="24"/>
        </w:rPr>
        <w:t>我们做什么</w:t>
      </w:r>
    </w:p>
    <w:p>
      <w:pPr>
        <w:widowControl/>
        <w:shd w:val="clear" w:color="auto" w:fill="FFFFFF"/>
        <w:jc w:val="center"/>
        <w:rPr>
          <w:rFonts w:ascii="宋体" w:hAnsi="宋体" w:eastAsia="宋体" w:cs="宋体"/>
          <w:color w:val="333333"/>
          <w:kern w:val="0"/>
          <w:sz w:val="24"/>
          <w:szCs w:val="24"/>
        </w:rPr>
      </w:pPr>
    </w:p>
    <w:p>
      <w:pPr>
        <w:widowControl/>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共</w:t>
      </w:r>
      <w:r>
        <w:rPr>
          <w:rFonts w:hint="eastAsia" w:ascii="宋体" w:hAnsi="宋体" w:eastAsia="宋体" w:cs="宋体"/>
          <w:color w:val="FF2941"/>
          <w:kern w:val="0"/>
          <w:sz w:val="24"/>
          <w:szCs w:val="24"/>
          <w:u w:val="single"/>
        </w:rPr>
        <w:t>302</w:t>
      </w:r>
      <w:r>
        <w:rPr>
          <w:rFonts w:hint="eastAsia" w:ascii="宋体" w:hAnsi="宋体" w:eastAsia="宋体" w:cs="宋体"/>
          <w:color w:val="333333"/>
          <w:kern w:val="0"/>
          <w:sz w:val="24"/>
          <w:szCs w:val="24"/>
        </w:rPr>
        <w:t>项常规测试项目  | </w:t>
      </w:r>
      <w:r>
        <w:rPr>
          <w:rFonts w:hint="eastAsia" w:ascii="宋体" w:hAnsi="宋体" w:eastAsia="宋体" w:cs="宋体"/>
          <w:color w:val="FF2941"/>
          <w:kern w:val="0"/>
          <w:sz w:val="24"/>
          <w:szCs w:val="24"/>
        </w:rPr>
        <w:t> </w:t>
      </w:r>
      <w:r>
        <w:rPr>
          <w:rFonts w:hint="eastAsia" w:ascii="宋体" w:hAnsi="宋体" w:eastAsia="宋体" w:cs="宋体"/>
          <w:color w:val="FF2941"/>
          <w:kern w:val="0"/>
          <w:sz w:val="24"/>
          <w:szCs w:val="24"/>
          <w:u w:val="single"/>
        </w:rPr>
        <w:t>19</w:t>
      </w:r>
      <w:r>
        <w:rPr>
          <w:rFonts w:hint="eastAsia" w:ascii="宋体" w:hAnsi="宋体" w:eastAsia="宋体" w:cs="宋体"/>
          <w:color w:val="333333"/>
          <w:kern w:val="0"/>
          <w:sz w:val="24"/>
          <w:szCs w:val="24"/>
        </w:rPr>
        <w:t>个主要城市分公司</w:t>
      </w:r>
    </w:p>
    <w:p>
      <w:pPr>
        <w:widowControl/>
        <w:jc w:val="center"/>
        <w:rPr>
          <w:rFonts w:ascii="宋体" w:hAnsi="宋体" w:eastAsia="宋体" w:cs="宋体"/>
          <w:color w:val="333333"/>
          <w:kern w:val="0"/>
          <w:sz w:val="24"/>
          <w:szCs w:val="24"/>
        </w:rPr>
      </w:pPr>
      <w:r>
        <w:rPr>
          <w:rFonts w:hint="eastAsia" w:ascii="宋体" w:hAnsi="宋体" w:eastAsia="宋体" w:cs="宋体"/>
          <w:color w:val="FF2941"/>
          <w:kern w:val="0"/>
          <w:sz w:val="24"/>
          <w:szCs w:val="24"/>
          <w:u w:val="single"/>
        </w:rPr>
        <w:t>100%</w:t>
      </w:r>
      <w:r>
        <w:rPr>
          <w:rFonts w:hint="eastAsia" w:ascii="宋体" w:hAnsi="宋体" w:eastAsia="宋体" w:cs="宋体"/>
          <w:color w:val="333333"/>
          <w:kern w:val="0"/>
          <w:sz w:val="24"/>
          <w:szCs w:val="24"/>
        </w:rPr>
        <w:t>硕士以上技术服务团队</w:t>
      </w:r>
    </w:p>
    <w:p>
      <w:pPr>
        <w:widowControl/>
        <w:jc w:val="center"/>
        <w:rPr>
          <w:rFonts w:ascii="宋体" w:hAnsi="宋体" w:eastAsia="宋体" w:cs="宋体"/>
          <w:color w:val="333333"/>
          <w:kern w:val="0"/>
          <w:sz w:val="24"/>
          <w:szCs w:val="24"/>
        </w:rPr>
      </w:pPr>
    </w:p>
    <w:p>
      <w:pPr>
        <w:widowControl/>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已测试</w:t>
      </w:r>
      <w:r>
        <w:rPr>
          <w:rFonts w:hint="eastAsia" w:ascii="宋体" w:hAnsi="宋体" w:eastAsia="宋体" w:cs="宋体"/>
          <w:color w:val="FF2941"/>
          <w:kern w:val="0"/>
          <w:sz w:val="24"/>
          <w:szCs w:val="24"/>
          <w:u w:val="single"/>
        </w:rPr>
        <w:t>600,000+</w:t>
      </w:r>
      <w:r>
        <w:rPr>
          <w:rFonts w:hint="eastAsia" w:ascii="宋体" w:hAnsi="宋体" w:eastAsia="宋体" w:cs="宋体"/>
          <w:color w:val="333333"/>
          <w:kern w:val="0"/>
          <w:sz w:val="24"/>
          <w:szCs w:val="24"/>
        </w:rPr>
        <w:t>样品  |  平均</w:t>
      </w:r>
      <w:r>
        <w:rPr>
          <w:rFonts w:hint="eastAsia" w:ascii="宋体" w:hAnsi="宋体" w:eastAsia="宋体" w:cs="宋体"/>
          <w:color w:val="FF2941"/>
          <w:kern w:val="0"/>
          <w:sz w:val="24"/>
          <w:szCs w:val="24"/>
          <w:u w:val="single"/>
        </w:rPr>
        <w:t>5.6</w:t>
      </w:r>
      <w:r>
        <w:rPr>
          <w:rFonts w:hint="eastAsia" w:ascii="宋体" w:hAnsi="宋体" w:eastAsia="宋体" w:cs="宋体"/>
          <w:color w:val="333333"/>
          <w:kern w:val="0"/>
          <w:sz w:val="24"/>
          <w:szCs w:val="24"/>
        </w:rPr>
        <w:t>天完成</w:t>
      </w:r>
    </w:p>
    <w:p>
      <w:pPr>
        <w:widowControl/>
        <w:jc w:val="center"/>
        <w:rPr>
          <w:rFonts w:ascii="宋体" w:hAnsi="宋体" w:eastAsia="宋体" w:cs="宋体"/>
          <w:color w:val="333333"/>
          <w:kern w:val="0"/>
          <w:sz w:val="24"/>
          <w:szCs w:val="24"/>
        </w:rPr>
      </w:pPr>
      <w:r>
        <w:rPr>
          <w:rFonts w:hint="eastAsia" w:ascii="宋体" w:hAnsi="宋体" w:eastAsia="宋体" w:cs="宋体"/>
          <w:color w:val="FF2941"/>
          <w:kern w:val="0"/>
          <w:sz w:val="24"/>
          <w:szCs w:val="24"/>
          <w:u w:val="single"/>
        </w:rPr>
        <w:t>98.4%</w:t>
      </w:r>
      <w:r>
        <w:rPr>
          <w:rFonts w:hint="eastAsia" w:ascii="宋体" w:hAnsi="宋体" w:eastAsia="宋体" w:cs="宋体"/>
          <w:color w:val="333333"/>
          <w:kern w:val="0"/>
          <w:sz w:val="24"/>
          <w:szCs w:val="24"/>
        </w:rPr>
        <w:t>的用户对测试结果满意</w:t>
      </w:r>
    </w:p>
    <w:p>
      <w:pPr>
        <w:widowControl/>
        <w:shd w:val="clear" w:color="auto" w:fill="FFFFFF"/>
        <w:rPr>
          <w:rFonts w:ascii="Microsoft YaHei UI" w:hAnsi="Microsoft YaHei UI" w:eastAsia="Microsoft YaHei UI" w:cs="宋体"/>
          <w:color w:val="333333"/>
          <w:kern w:val="0"/>
          <w:sz w:val="26"/>
          <w:szCs w:val="26"/>
        </w:rPr>
      </w:pPr>
    </w:p>
    <w:tbl>
      <w:tblPr>
        <w:tblStyle w:val="5"/>
        <w:tblW w:w="8214" w:type="dxa"/>
        <w:tblInd w:w="0" w:type="dxa"/>
        <w:tblLayout w:type="autofit"/>
        <w:tblCellMar>
          <w:top w:w="0" w:type="dxa"/>
          <w:left w:w="0" w:type="dxa"/>
          <w:bottom w:w="0" w:type="dxa"/>
          <w:right w:w="0" w:type="dxa"/>
        </w:tblCellMar>
      </w:tblPr>
      <w:tblGrid>
        <w:gridCol w:w="1410"/>
        <w:gridCol w:w="6804"/>
      </w:tblGrid>
      <w:tr>
        <w:tblPrEx>
          <w:tblCellMar>
            <w:top w:w="0" w:type="dxa"/>
            <w:left w:w="0" w:type="dxa"/>
            <w:bottom w:w="0" w:type="dxa"/>
            <w:right w:w="0" w:type="dxa"/>
          </w:tblCellMar>
        </w:tblPrEx>
        <w:tc>
          <w:tcPr>
            <w:tcW w:w="1410" w:type="dxa"/>
            <w:tcBorders>
              <w:top w:val="single" w:color="5B9BD5" w:sz="6" w:space="0"/>
              <w:left w:val="single" w:color="5B9BD5" w:sz="6" w:space="0"/>
              <w:bottom w:val="single" w:color="5B9BD5" w:sz="6" w:space="0"/>
              <w:right w:val="nil"/>
            </w:tcBorders>
            <w:shd w:val="clear" w:color="auto" w:fill="5B9BD5"/>
            <w:tcMar>
              <w:top w:w="0" w:type="dxa"/>
              <w:left w:w="105" w:type="dxa"/>
              <w:bottom w:w="0" w:type="dxa"/>
              <w:right w:w="105" w:type="dxa"/>
            </w:tcMar>
          </w:tcPr>
          <w:p>
            <w:pPr>
              <w:widowControl/>
              <w:wordWrap w:val="0"/>
              <w:jc w:val="center"/>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b/>
                <w:bCs/>
                <w:color w:val="333333"/>
                <w:spacing w:val="8"/>
                <w:kern w:val="0"/>
                <w:szCs w:val="21"/>
              </w:rPr>
              <w:t>测试类别</w:t>
            </w:r>
          </w:p>
        </w:tc>
        <w:tc>
          <w:tcPr>
            <w:tcW w:w="6804" w:type="dxa"/>
            <w:tcBorders>
              <w:top w:val="single" w:color="5B9BD5" w:sz="6" w:space="0"/>
              <w:left w:val="nil"/>
              <w:bottom w:val="single" w:color="5B9BD5" w:sz="6" w:space="0"/>
              <w:right w:val="single" w:color="5B9BD5" w:sz="6" w:space="0"/>
            </w:tcBorders>
            <w:shd w:val="clear" w:color="auto" w:fill="5B9BD5"/>
            <w:tcMar>
              <w:top w:w="0" w:type="dxa"/>
              <w:left w:w="105" w:type="dxa"/>
              <w:bottom w:w="0" w:type="dxa"/>
              <w:right w:w="105" w:type="dxa"/>
            </w:tcMar>
          </w:tcPr>
          <w:p>
            <w:pPr>
              <w:widowControl/>
              <w:jc w:val="center"/>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b/>
                <w:bCs/>
                <w:color w:val="333333"/>
                <w:spacing w:val="8"/>
                <w:kern w:val="0"/>
                <w:szCs w:val="21"/>
              </w:rPr>
              <w:t>测试项目</w:t>
            </w:r>
          </w:p>
        </w:tc>
      </w:tr>
      <w:tr>
        <w:tblPrEx>
          <w:tblCellMar>
            <w:top w:w="0" w:type="dxa"/>
            <w:left w:w="0" w:type="dxa"/>
            <w:bottom w:w="0" w:type="dxa"/>
            <w:right w:w="0" w:type="dxa"/>
          </w:tblCellMar>
        </w:tblPrEx>
        <w:tc>
          <w:tcPr>
            <w:tcW w:w="1410" w:type="dxa"/>
            <w:tcBorders>
              <w:top w:val="nil"/>
              <w:left w:val="single" w:color="9CC2E5" w:sz="6" w:space="0"/>
              <w:bottom w:val="single" w:color="9CC2E5" w:sz="6" w:space="0"/>
              <w:right w:val="single" w:color="9CC2E5" w:sz="6" w:space="0"/>
            </w:tcBorders>
            <w:shd w:val="clear" w:color="auto" w:fill="DEEAF6"/>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b/>
                <w:bCs/>
                <w:color w:val="0052FF"/>
                <w:spacing w:val="8"/>
                <w:kern w:val="0"/>
                <w:szCs w:val="21"/>
              </w:rPr>
              <w:t>1.能谱类</w:t>
            </w:r>
          </w:p>
        </w:tc>
        <w:tc>
          <w:tcPr>
            <w:tcW w:w="6804" w:type="dxa"/>
            <w:tcBorders>
              <w:top w:val="nil"/>
              <w:left w:val="nil"/>
              <w:bottom w:val="single" w:color="9CC2E5" w:sz="6" w:space="0"/>
              <w:right w:val="single" w:color="9CC2E5" w:sz="6" w:space="0"/>
            </w:tcBorders>
            <w:shd w:val="clear" w:color="auto" w:fill="DEEAF6"/>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color w:val="333333"/>
                <w:spacing w:val="8"/>
                <w:kern w:val="0"/>
                <w:sz w:val="18"/>
                <w:szCs w:val="18"/>
              </w:rPr>
              <w:t> X射线光电子能谱仪（XPS），X射线衍射仪（XRD），X射线单晶衍射，紫外光电子能谱（UPS），原位（变温）XRD，小角散射仪，XRD（掠射），原位（变温）XPS，原位（电化学）XRD，俄歇电子能谱仪（AES），低本底多道γ能谱仪，同步辐射吸收谱，HRXRD (高分辨XRD)，RSM（倒易空间图），微区XPS，XRD-摇摆曲线，微区XRD，XRR（X射线反射率），低能粒子散射谱（Low-EnergyInScattering,LEIS）</w:t>
            </w:r>
          </w:p>
        </w:tc>
      </w:tr>
      <w:tr>
        <w:tblPrEx>
          <w:tblCellMar>
            <w:top w:w="0" w:type="dxa"/>
            <w:left w:w="0" w:type="dxa"/>
            <w:bottom w:w="0" w:type="dxa"/>
            <w:right w:w="0" w:type="dxa"/>
          </w:tblCellMar>
        </w:tblPrEx>
        <w:tc>
          <w:tcPr>
            <w:tcW w:w="1410" w:type="dxa"/>
            <w:tcBorders>
              <w:top w:val="nil"/>
              <w:left w:val="single" w:color="9CC2E5" w:sz="6" w:space="0"/>
              <w:bottom w:val="single" w:color="9CC2E5" w:sz="6" w:space="0"/>
              <w:right w:val="single" w:color="9CC2E5" w:sz="6" w:space="0"/>
            </w:tcBorders>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b/>
                <w:bCs/>
                <w:color w:val="0052FF"/>
                <w:spacing w:val="8"/>
                <w:kern w:val="0"/>
                <w:szCs w:val="21"/>
              </w:rPr>
              <w:t>2.电镜类</w:t>
            </w:r>
          </w:p>
        </w:tc>
        <w:tc>
          <w:tcPr>
            <w:tcW w:w="6804" w:type="dxa"/>
            <w:tcBorders>
              <w:top w:val="nil"/>
              <w:left w:val="nil"/>
              <w:bottom w:val="single" w:color="9CC2E5" w:sz="6" w:space="0"/>
              <w:right w:val="single" w:color="9CC2E5" w:sz="6" w:space="0"/>
            </w:tcBorders>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color w:val="333333"/>
                <w:spacing w:val="8"/>
                <w:kern w:val="0"/>
                <w:sz w:val="18"/>
                <w:szCs w:val="18"/>
              </w:rPr>
              <w:t>高分辨透射电子显微镜（HRTEM），场发射扫描电子显微镜（FE-SEM），原子力显微镜（AFM），包埋切片，EBSD，球差矫正电镜（AC-TEM），聚焦离子束双束显微镜（FIB），光学轮廓（白光干涉）仪，冷冻电镜（cryo-TEM），氩离子抛光，电子探针（EPMA），纳米CT（Micro-ct），荧光显微镜，偏光显微镜，光学显微镜，台阶仪，原子力显微镜（AFM）.特殊模式，原位SEM，激光显微镜，双喷，金相显微镜，双光子显微镜，电子能量损失谱（EELS）</w:t>
            </w:r>
          </w:p>
        </w:tc>
      </w:tr>
      <w:tr>
        <w:tblPrEx>
          <w:tblCellMar>
            <w:top w:w="0" w:type="dxa"/>
            <w:left w:w="0" w:type="dxa"/>
            <w:bottom w:w="0" w:type="dxa"/>
            <w:right w:w="0" w:type="dxa"/>
          </w:tblCellMar>
        </w:tblPrEx>
        <w:tc>
          <w:tcPr>
            <w:tcW w:w="1410" w:type="dxa"/>
            <w:tcBorders>
              <w:top w:val="nil"/>
              <w:left w:val="single" w:color="9CC2E5" w:sz="6" w:space="0"/>
              <w:bottom w:val="single" w:color="9CC2E5" w:sz="6" w:space="0"/>
              <w:right w:val="single" w:color="9CC2E5" w:sz="6" w:space="0"/>
            </w:tcBorders>
            <w:shd w:val="clear" w:color="auto" w:fill="DEEAF6"/>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b/>
                <w:bCs/>
                <w:color w:val="0052FF"/>
                <w:spacing w:val="8"/>
                <w:kern w:val="0"/>
                <w:szCs w:val="21"/>
              </w:rPr>
              <w:t>3.光谱类</w:t>
            </w:r>
          </w:p>
        </w:tc>
        <w:tc>
          <w:tcPr>
            <w:tcW w:w="6804" w:type="dxa"/>
            <w:tcBorders>
              <w:top w:val="nil"/>
              <w:left w:val="nil"/>
              <w:bottom w:val="single" w:color="9CC2E5" w:sz="6" w:space="0"/>
              <w:right w:val="single" w:color="9CC2E5" w:sz="6" w:space="0"/>
            </w:tcBorders>
            <w:shd w:val="clear" w:color="auto" w:fill="DEEAF6"/>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color w:val="333333"/>
                <w:spacing w:val="8"/>
                <w:kern w:val="0"/>
                <w:sz w:val="18"/>
                <w:szCs w:val="18"/>
              </w:rPr>
              <w:t>ICP-OES，里叶红外光谱仪（FTIR），高分辨拉曼光谱仪（Raman），X射线荧光光谱（XRF）（可做微区），荧光光谱、荧光寿命、量子产率，紫外可见近红外分光光度计，吡啶红外，圆二色谱仪CD，椭偏仪，原子荧光，表面光电压谱仪，直读光谱仪，光热升温系统/红外热成像，变温/原位红外，原位/变温拉曼，LED光色电测试，显微红外，瞬态吸收，微区XRF，远红外，高精度分光光度计/白度测试/白度仪，一体式光散射仪，旋光仪，偏振拉曼，SFG，GDOES，微区紫外可见分光光度计，闪烁性能综合测量系统，原位紫外光谱</w:t>
            </w:r>
          </w:p>
        </w:tc>
      </w:tr>
      <w:tr>
        <w:tblPrEx>
          <w:tblCellMar>
            <w:top w:w="0" w:type="dxa"/>
            <w:left w:w="0" w:type="dxa"/>
            <w:bottom w:w="0" w:type="dxa"/>
            <w:right w:w="0" w:type="dxa"/>
          </w:tblCellMar>
        </w:tblPrEx>
        <w:tc>
          <w:tcPr>
            <w:tcW w:w="1410" w:type="dxa"/>
            <w:tcBorders>
              <w:top w:val="nil"/>
              <w:left w:val="single" w:color="9CC2E5" w:sz="6" w:space="0"/>
              <w:bottom w:val="single" w:color="9CC2E5" w:sz="6" w:space="0"/>
              <w:right w:val="single" w:color="9CC2E5" w:sz="6" w:space="0"/>
            </w:tcBorders>
            <w:tcMar>
              <w:top w:w="0" w:type="dxa"/>
              <w:left w:w="105" w:type="dxa"/>
              <w:bottom w:w="0" w:type="dxa"/>
              <w:right w:w="105" w:type="dxa"/>
            </w:tcMar>
          </w:tcPr>
          <w:p>
            <w:pPr>
              <w:widowControl/>
              <w:shd w:val="clear" w:color="auto" w:fill="FFFFFF"/>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b/>
                <w:bCs/>
                <w:color w:val="0052FF"/>
                <w:spacing w:val="8"/>
                <w:kern w:val="0"/>
                <w:szCs w:val="21"/>
              </w:rPr>
              <w:t>4.波谱类</w:t>
            </w:r>
          </w:p>
        </w:tc>
        <w:tc>
          <w:tcPr>
            <w:tcW w:w="6804" w:type="dxa"/>
            <w:tcBorders>
              <w:top w:val="nil"/>
              <w:left w:val="nil"/>
              <w:bottom w:val="single" w:color="9CC2E5" w:sz="6" w:space="0"/>
              <w:right w:val="single" w:color="9CC2E5" w:sz="6" w:space="0"/>
            </w:tcBorders>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color w:val="333333"/>
                <w:spacing w:val="8"/>
                <w:kern w:val="0"/>
                <w:sz w:val="18"/>
                <w:szCs w:val="18"/>
              </w:rPr>
              <w:t>液体核磁共振波谱仪（NMR），顺磁共振波谱仪（EPR），固体核磁共振波谱仪，穆斯堡尔谱仪，核磁共振成像-MRI，核磁共振交联密度成像分析仪，低场核磁共振（弛豫时间T2）</w:t>
            </w:r>
          </w:p>
        </w:tc>
      </w:tr>
      <w:tr>
        <w:tblPrEx>
          <w:tblCellMar>
            <w:top w:w="0" w:type="dxa"/>
            <w:left w:w="0" w:type="dxa"/>
            <w:bottom w:w="0" w:type="dxa"/>
            <w:right w:w="0" w:type="dxa"/>
          </w:tblCellMar>
        </w:tblPrEx>
        <w:tc>
          <w:tcPr>
            <w:tcW w:w="1410" w:type="dxa"/>
            <w:tcBorders>
              <w:top w:val="nil"/>
              <w:left w:val="single" w:color="9CC2E5" w:sz="6" w:space="0"/>
              <w:bottom w:val="single" w:color="9CC2E5" w:sz="6" w:space="0"/>
              <w:right w:val="single" w:color="9CC2E5" w:sz="6" w:space="0"/>
            </w:tcBorders>
            <w:shd w:val="clear" w:color="auto" w:fill="DEEAF6"/>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b/>
                <w:bCs/>
                <w:color w:val="0052FF"/>
                <w:spacing w:val="8"/>
                <w:kern w:val="0"/>
                <w:szCs w:val="21"/>
              </w:rPr>
              <w:t>5.色谱质谱类</w:t>
            </w:r>
          </w:p>
        </w:tc>
        <w:tc>
          <w:tcPr>
            <w:tcW w:w="6804" w:type="dxa"/>
            <w:tcBorders>
              <w:top w:val="nil"/>
              <w:left w:val="nil"/>
              <w:bottom w:val="single" w:color="9CC2E5" w:sz="6" w:space="0"/>
              <w:right w:val="single" w:color="9CC2E5" w:sz="6" w:space="0"/>
            </w:tcBorders>
            <w:shd w:val="clear" w:color="auto" w:fill="DEEAF6"/>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color w:val="333333"/>
                <w:spacing w:val="8"/>
                <w:kern w:val="0"/>
                <w:sz w:val="18"/>
                <w:szCs w:val="18"/>
              </w:rPr>
              <w:t>凝胶渗透色谱仪（GPC），ICP-MS，高分辨质谱（HRMS），液质联用仪（LC-MS），气质联用（GCMS），基质辅助激光解吸-飞行时间质谱仪(maldi-tof)，离子色谱IC，PY-GCMS，氨基酸分析仪，二次离子质谱sims，高效液相色谱（HPLC），气相色谱（GC），稳定同位素比值质谱仪，液相色谱-原子荧光联用，元素分析同位素质谱联用仪，二级质谱，多接收电感耦合等离子体质谱，气相色谱-同位素质谱联用仪，超临界流体色谱（SFC），全二维气相-飞行时间质谱联用仪（GC×GC-QTOFMS），GDMS</w:t>
            </w:r>
          </w:p>
        </w:tc>
      </w:tr>
      <w:tr>
        <w:tblPrEx>
          <w:tblCellMar>
            <w:top w:w="0" w:type="dxa"/>
            <w:left w:w="0" w:type="dxa"/>
            <w:bottom w:w="0" w:type="dxa"/>
            <w:right w:w="0" w:type="dxa"/>
          </w:tblCellMar>
        </w:tblPrEx>
        <w:tc>
          <w:tcPr>
            <w:tcW w:w="1410" w:type="dxa"/>
            <w:tcBorders>
              <w:top w:val="nil"/>
              <w:left w:val="single" w:color="9CC2E5" w:sz="6" w:space="0"/>
              <w:bottom w:val="single" w:color="9CC2E5" w:sz="6" w:space="0"/>
              <w:right w:val="single" w:color="9CC2E5" w:sz="6" w:space="0"/>
            </w:tcBorders>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b/>
                <w:bCs/>
                <w:color w:val="0052FF"/>
                <w:spacing w:val="8"/>
                <w:kern w:val="0"/>
                <w:szCs w:val="21"/>
              </w:rPr>
              <w:t>6.吸附类</w:t>
            </w:r>
          </w:p>
        </w:tc>
        <w:tc>
          <w:tcPr>
            <w:tcW w:w="6804" w:type="dxa"/>
            <w:tcBorders>
              <w:top w:val="nil"/>
              <w:left w:val="nil"/>
              <w:bottom w:val="single" w:color="9CC2E5" w:sz="6" w:space="0"/>
              <w:right w:val="single" w:color="9CC2E5" w:sz="6" w:space="0"/>
            </w:tcBorders>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color w:val="333333"/>
                <w:spacing w:val="8"/>
                <w:kern w:val="0"/>
                <w:sz w:val="18"/>
                <w:szCs w:val="18"/>
              </w:rPr>
              <w:t>全自动比表面吸附仪BET（全孔/微孔/介孔），程序升温化学吸附分析仪TPD/TPR/TPO，压汞仪，水蒸气吸附分析仪，毛细管孔径分析仪，孔径分析仪，穿透曲线</w:t>
            </w:r>
          </w:p>
        </w:tc>
      </w:tr>
      <w:tr>
        <w:tblPrEx>
          <w:tblCellMar>
            <w:top w:w="0" w:type="dxa"/>
            <w:left w:w="0" w:type="dxa"/>
            <w:bottom w:w="0" w:type="dxa"/>
            <w:right w:w="0" w:type="dxa"/>
          </w:tblCellMar>
        </w:tblPrEx>
        <w:tc>
          <w:tcPr>
            <w:tcW w:w="1410" w:type="dxa"/>
            <w:tcBorders>
              <w:top w:val="nil"/>
              <w:left w:val="single" w:color="9CC2E5" w:sz="6" w:space="0"/>
              <w:bottom w:val="single" w:color="9CC2E5" w:sz="6" w:space="0"/>
              <w:right w:val="single" w:color="9CC2E5" w:sz="6" w:space="0"/>
            </w:tcBorders>
            <w:shd w:val="clear" w:color="auto" w:fill="DEEAF6"/>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b/>
                <w:bCs/>
                <w:color w:val="0052FF"/>
                <w:spacing w:val="8"/>
                <w:kern w:val="0"/>
                <w:szCs w:val="21"/>
              </w:rPr>
              <w:t>7.热分析类</w:t>
            </w:r>
          </w:p>
        </w:tc>
        <w:tc>
          <w:tcPr>
            <w:tcW w:w="6804" w:type="dxa"/>
            <w:tcBorders>
              <w:top w:val="nil"/>
              <w:left w:val="nil"/>
              <w:bottom w:val="single" w:color="9CC2E5" w:sz="6" w:space="0"/>
              <w:right w:val="single" w:color="9CC2E5" w:sz="6" w:space="0"/>
            </w:tcBorders>
            <w:shd w:val="clear" w:color="auto" w:fill="DEEAF6"/>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color w:val="333333"/>
                <w:spacing w:val="8"/>
                <w:kern w:val="0"/>
                <w:sz w:val="18"/>
                <w:szCs w:val="18"/>
              </w:rPr>
              <w:t>热重分析仪（TG），差示扫描量热仪（DSC），同步热分析（TG-DSC），导热系数仪（hotdisk），激光导热仪，热重-质谱联用（TG-MS），动态热机械分析仪（DMA），热重-红外联用（TG-IR），比热容测试，微型量热仪（MCC），热机械分析仪TMA，锥形量热仪，热膨胀系数，极限氧指数，TG-FTIR-GCMS，热变形维卡试验机，UL94水平垂直燃烧仪</w:t>
            </w:r>
          </w:p>
        </w:tc>
      </w:tr>
      <w:tr>
        <w:tblPrEx>
          <w:tblCellMar>
            <w:top w:w="0" w:type="dxa"/>
            <w:left w:w="0" w:type="dxa"/>
            <w:bottom w:w="0" w:type="dxa"/>
            <w:right w:w="0" w:type="dxa"/>
          </w:tblCellMar>
        </w:tblPrEx>
        <w:tc>
          <w:tcPr>
            <w:tcW w:w="1410" w:type="dxa"/>
            <w:tcBorders>
              <w:top w:val="nil"/>
              <w:left w:val="single" w:color="9CC2E5" w:sz="6" w:space="0"/>
              <w:bottom w:val="single" w:color="9CC2E5" w:sz="6" w:space="0"/>
              <w:right w:val="single" w:color="9CC2E5" w:sz="6" w:space="0"/>
            </w:tcBorders>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b/>
                <w:bCs/>
                <w:color w:val="0052FF"/>
                <w:spacing w:val="8"/>
                <w:kern w:val="0"/>
                <w:szCs w:val="21"/>
              </w:rPr>
              <w:t>8.元素分析类</w:t>
            </w:r>
          </w:p>
        </w:tc>
        <w:tc>
          <w:tcPr>
            <w:tcW w:w="6804" w:type="dxa"/>
            <w:tcBorders>
              <w:top w:val="nil"/>
              <w:left w:val="nil"/>
              <w:bottom w:val="single" w:color="9CC2E5" w:sz="6" w:space="0"/>
              <w:right w:val="single" w:color="9CC2E5" w:sz="6" w:space="0"/>
            </w:tcBorders>
            <w:tcMar>
              <w:top w:w="0" w:type="dxa"/>
              <w:left w:w="105" w:type="dxa"/>
              <w:bottom w:w="0" w:type="dxa"/>
              <w:right w:w="105" w:type="dxa"/>
            </w:tcMar>
          </w:tcPr>
          <w:p>
            <w:pPr>
              <w:widowControl/>
              <w:shd w:val="clear" w:color="auto" w:fill="FFFFFF"/>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color w:val="333333"/>
                <w:spacing w:val="8"/>
                <w:kern w:val="0"/>
                <w:sz w:val="18"/>
                <w:szCs w:val="18"/>
              </w:rPr>
              <w:t>有机元素分析仪（EA），总有机碳分析仪TOC，凯氏定氮仪，碳硫分析仪，煤/重有机质工业分析仪，氮氧氢分析仪，碳氮硫氯元素分析仪，库伦定硫仪</w:t>
            </w:r>
          </w:p>
        </w:tc>
      </w:tr>
      <w:tr>
        <w:tblPrEx>
          <w:tblCellMar>
            <w:top w:w="0" w:type="dxa"/>
            <w:left w:w="0" w:type="dxa"/>
            <w:bottom w:w="0" w:type="dxa"/>
            <w:right w:w="0" w:type="dxa"/>
          </w:tblCellMar>
        </w:tblPrEx>
        <w:tc>
          <w:tcPr>
            <w:tcW w:w="1410" w:type="dxa"/>
            <w:tcBorders>
              <w:top w:val="nil"/>
              <w:left w:val="single" w:color="9CC2E5" w:sz="6" w:space="0"/>
              <w:bottom w:val="single" w:color="9CC2E5" w:sz="6" w:space="0"/>
              <w:right w:val="single" w:color="9CC2E5" w:sz="6" w:space="0"/>
            </w:tcBorders>
            <w:shd w:val="clear" w:color="auto" w:fill="DEEAF6"/>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b/>
                <w:bCs/>
                <w:color w:val="0052FF"/>
                <w:spacing w:val="8"/>
                <w:kern w:val="0"/>
                <w:szCs w:val="21"/>
              </w:rPr>
              <w:t>9.物性测试</w:t>
            </w:r>
          </w:p>
        </w:tc>
        <w:tc>
          <w:tcPr>
            <w:tcW w:w="6804" w:type="dxa"/>
            <w:tcBorders>
              <w:top w:val="nil"/>
              <w:left w:val="nil"/>
              <w:bottom w:val="single" w:color="9CC2E5" w:sz="6" w:space="0"/>
              <w:right w:val="single" w:color="9CC2E5" w:sz="6" w:space="0"/>
            </w:tcBorders>
            <w:shd w:val="clear" w:color="auto" w:fill="DEEAF6"/>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color w:val="333333"/>
                <w:spacing w:val="8"/>
                <w:kern w:val="0"/>
                <w:sz w:val="18"/>
                <w:szCs w:val="18"/>
              </w:rPr>
              <w:t>静态接触角，纳米压痕仪，全自动真密度分析仪，液体密度仪，表面张力仪，等差法透氧测试仪，动态接触角，维氏硬度计（显微硬度），折光仪，邵氏硬度测试，熔融指数仪，传递函数吸声系数测试系统，冰点渗透压，灰熔点，粉体综合特性测试仪，防紫外透过率测试仪，中温闪点仪，熔点仪，布洛维硬度计，日晒牢度测试，织物透气性测试，手性化合物ee值，光泽度仪，耐刮擦仪，双工位微电脑型振实密度仪，倾点测定仪，盐水浸渍测试，微米划痕，质构仪，硬度测试，酸度计，烟密度（建筑材料，塑料），色差仪，水蒸气透过率，氧气透过率</w:t>
            </w:r>
          </w:p>
        </w:tc>
      </w:tr>
      <w:tr>
        <w:tblPrEx>
          <w:tblCellMar>
            <w:top w:w="0" w:type="dxa"/>
            <w:left w:w="0" w:type="dxa"/>
            <w:bottom w:w="0" w:type="dxa"/>
            <w:right w:w="0" w:type="dxa"/>
          </w:tblCellMar>
        </w:tblPrEx>
        <w:tc>
          <w:tcPr>
            <w:tcW w:w="1410" w:type="dxa"/>
            <w:tcBorders>
              <w:top w:val="nil"/>
              <w:left w:val="single" w:color="9CC2E5" w:sz="6" w:space="0"/>
              <w:bottom w:val="single" w:color="9CC2E5" w:sz="6" w:space="0"/>
              <w:right w:val="single" w:color="9CC2E5" w:sz="6" w:space="0"/>
            </w:tcBorders>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b/>
                <w:bCs/>
                <w:color w:val="0052FF"/>
                <w:spacing w:val="8"/>
                <w:kern w:val="0"/>
                <w:szCs w:val="21"/>
              </w:rPr>
              <w:t>10.力学性能</w:t>
            </w:r>
          </w:p>
        </w:tc>
        <w:tc>
          <w:tcPr>
            <w:tcW w:w="6804" w:type="dxa"/>
            <w:tcBorders>
              <w:top w:val="nil"/>
              <w:left w:val="nil"/>
              <w:bottom w:val="single" w:color="9CC2E5" w:sz="6" w:space="0"/>
              <w:right w:val="single" w:color="9CC2E5" w:sz="6" w:space="0"/>
            </w:tcBorders>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color w:val="333333"/>
                <w:spacing w:val="8"/>
                <w:kern w:val="0"/>
                <w:sz w:val="18"/>
                <w:szCs w:val="18"/>
              </w:rPr>
              <w:t>万能力学试验机（非金属），摩擦磨损试验机，残余应力分析系统，gleeble热模拟试验机，单纤强力仪，摆锤冲击试验机，电子万能试验机.电桥测试仪联用，落锤冲击试验机，疲劳试验机，万能力学试验机（金属），分离式Hopkinson压杆设备</w:t>
            </w:r>
          </w:p>
        </w:tc>
      </w:tr>
      <w:tr>
        <w:tblPrEx>
          <w:tblCellMar>
            <w:top w:w="0" w:type="dxa"/>
            <w:left w:w="0" w:type="dxa"/>
            <w:bottom w:w="0" w:type="dxa"/>
            <w:right w:w="0" w:type="dxa"/>
          </w:tblCellMar>
        </w:tblPrEx>
        <w:tc>
          <w:tcPr>
            <w:tcW w:w="1410" w:type="dxa"/>
            <w:tcBorders>
              <w:top w:val="nil"/>
              <w:left w:val="single" w:color="9CC2E5" w:sz="6" w:space="0"/>
              <w:bottom w:val="single" w:color="9CC2E5" w:sz="6" w:space="0"/>
              <w:right w:val="single" w:color="9CC2E5" w:sz="6" w:space="0"/>
            </w:tcBorders>
            <w:shd w:val="clear" w:color="auto" w:fill="DEEAF6"/>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b/>
                <w:bCs/>
                <w:color w:val="0052FF"/>
                <w:spacing w:val="8"/>
                <w:kern w:val="0"/>
                <w:szCs w:val="21"/>
              </w:rPr>
              <w:t>11.电磁学性能测试</w:t>
            </w:r>
          </w:p>
        </w:tc>
        <w:tc>
          <w:tcPr>
            <w:tcW w:w="6804" w:type="dxa"/>
            <w:tcBorders>
              <w:top w:val="nil"/>
              <w:left w:val="nil"/>
              <w:bottom w:val="single" w:color="9CC2E5" w:sz="6" w:space="0"/>
              <w:right w:val="single" w:color="9CC2E5" w:sz="6" w:space="0"/>
            </w:tcBorders>
            <w:shd w:val="clear" w:color="auto" w:fill="DEEAF6"/>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color w:val="333333"/>
                <w:spacing w:val="8"/>
                <w:kern w:val="0"/>
                <w:sz w:val="18"/>
                <w:szCs w:val="18"/>
              </w:rPr>
              <w:t>磁滞回线测试（VSM），矢量网络分析仪，电阻率测试仪，双波段发射率测量仪，铁电分析仪，中频感应加热系统，物性综合测量系统（PPMS-9T），阻抗管，击穿电压测试，介电常数和介电损耗，半导体参数测定仪，分立器件测试系统，塞贝克系数与电导率测试系统，原位电阻测试系统，准静态d33测量仪，霍尔效应测试</w:t>
            </w:r>
          </w:p>
        </w:tc>
      </w:tr>
      <w:tr>
        <w:tblPrEx>
          <w:tblCellMar>
            <w:top w:w="0" w:type="dxa"/>
            <w:left w:w="0" w:type="dxa"/>
            <w:bottom w:w="0" w:type="dxa"/>
            <w:right w:w="0" w:type="dxa"/>
          </w:tblCellMar>
        </w:tblPrEx>
        <w:tc>
          <w:tcPr>
            <w:tcW w:w="1410" w:type="dxa"/>
            <w:tcBorders>
              <w:top w:val="nil"/>
              <w:left w:val="single" w:color="9CC2E5" w:sz="6" w:space="0"/>
              <w:bottom w:val="single" w:color="9CC2E5" w:sz="6" w:space="0"/>
              <w:right w:val="single" w:color="9CC2E5" w:sz="6" w:space="0"/>
            </w:tcBorders>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b/>
                <w:bCs/>
                <w:color w:val="0052FF"/>
                <w:spacing w:val="8"/>
                <w:kern w:val="0"/>
                <w:szCs w:val="21"/>
              </w:rPr>
              <w:t>12.电化学类</w:t>
            </w:r>
          </w:p>
        </w:tc>
        <w:tc>
          <w:tcPr>
            <w:tcW w:w="6804" w:type="dxa"/>
            <w:tcBorders>
              <w:top w:val="nil"/>
              <w:left w:val="nil"/>
              <w:bottom w:val="single" w:color="9CC2E5" w:sz="6" w:space="0"/>
              <w:right w:val="single" w:color="9CC2E5" w:sz="6" w:space="0"/>
            </w:tcBorders>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color w:val="333333"/>
                <w:spacing w:val="8"/>
                <w:kern w:val="0"/>
                <w:sz w:val="18"/>
                <w:szCs w:val="18"/>
              </w:rPr>
              <w:t>电化学工作站，电化学阻抗EIS，单电池测试，选择电极，溶液电导率测试，离子电导率，铜片腐蚀测试</w:t>
            </w:r>
          </w:p>
        </w:tc>
      </w:tr>
      <w:tr>
        <w:tblPrEx>
          <w:tblCellMar>
            <w:top w:w="0" w:type="dxa"/>
            <w:left w:w="0" w:type="dxa"/>
            <w:bottom w:w="0" w:type="dxa"/>
            <w:right w:w="0" w:type="dxa"/>
          </w:tblCellMar>
        </w:tblPrEx>
        <w:tc>
          <w:tcPr>
            <w:tcW w:w="1410" w:type="dxa"/>
            <w:tcBorders>
              <w:top w:val="nil"/>
              <w:left w:val="single" w:color="9CC2E5" w:sz="6" w:space="0"/>
              <w:bottom w:val="single" w:color="9CC2E5" w:sz="6" w:space="0"/>
              <w:right w:val="single" w:color="9CC2E5" w:sz="6" w:space="0"/>
            </w:tcBorders>
            <w:shd w:val="clear" w:color="auto" w:fill="DEEAF6"/>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b/>
                <w:bCs/>
                <w:color w:val="0052FF"/>
                <w:spacing w:val="8"/>
                <w:kern w:val="0"/>
                <w:szCs w:val="21"/>
              </w:rPr>
              <w:t>13.粒度/颗粒分析类</w:t>
            </w:r>
          </w:p>
        </w:tc>
        <w:tc>
          <w:tcPr>
            <w:tcW w:w="6804" w:type="dxa"/>
            <w:tcBorders>
              <w:top w:val="nil"/>
              <w:left w:val="nil"/>
              <w:bottom w:val="single" w:color="9CC2E5" w:sz="6" w:space="0"/>
              <w:right w:val="single" w:color="9CC2E5" w:sz="6" w:space="0"/>
            </w:tcBorders>
            <w:shd w:val="clear" w:color="auto" w:fill="DEEAF6"/>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color w:val="333333"/>
                <w:spacing w:val="8"/>
                <w:kern w:val="0"/>
                <w:sz w:val="18"/>
                <w:szCs w:val="18"/>
              </w:rPr>
              <w:t>纳米粒度及Zeta电位分析仪（可做变温），激光粒度分析仪，固体zeta电位，液体颗粒计数器，颗粒强度测定仪</w:t>
            </w:r>
          </w:p>
        </w:tc>
      </w:tr>
      <w:tr>
        <w:tblPrEx>
          <w:tblCellMar>
            <w:top w:w="0" w:type="dxa"/>
            <w:left w:w="0" w:type="dxa"/>
            <w:bottom w:w="0" w:type="dxa"/>
            <w:right w:w="0" w:type="dxa"/>
          </w:tblCellMar>
        </w:tblPrEx>
        <w:tc>
          <w:tcPr>
            <w:tcW w:w="1410" w:type="dxa"/>
            <w:tcBorders>
              <w:top w:val="nil"/>
              <w:left w:val="single" w:color="9CC2E5" w:sz="6" w:space="0"/>
              <w:bottom w:val="single" w:color="9CC2E5" w:sz="6" w:space="0"/>
              <w:right w:val="single" w:color="9CC2E5" w:sz="6" w:space="0"/>
            </w:tcBorders>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b/>
                <w:bCs/>
                <w:color w:val="0052FF"/>
                <w:spacing w:val="8"/>
                <w:kern w:val="0"/>
                <w:szCs w:val="21"/>
              </w:rPr>
              <w:t>14.流变/粘度类</w:t>
            </w:r>
          </w:p>
        </w:tc>
        <w:tc>
          <w:tcPr>
            <w:tcW w:w="6804" w:type="dxa"/>
            <w:tcBorders>
              <w:top w:val="nil"/>
              <w:left w:val="nil"/>
              <w:bottom w:val="single" w:color="9CC2E5" w:sz="6" w:space="0"/>
              <w:right w:val="single" w:color="9CC2E5" w:sz="6" w:space="0"/>
            </w:tcBorders>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color w:val="333333"/>
                <w:spacing w:val="8"/>
                <w:kern w:val="0"/>
                <w:sz w:val="18"/>
                <w:szCs w:val="18"/>
              </w:rPr>
              <w:t>流变仪，旋转粘度计，落球式粘度计，乌氏粘度计，高温弹性模量测试，粘度指数，高温粘度仪，毛细管流变仪</w:t>
            </w:r>
          </w:p>
        </w:tc>
      </w:tr>
      <w:tr>
        <w:tblPrEx>
          <w:tblCellMar>
            <w:top w:w="0" w:type="dxa"/>
            <w:left w:w="0" w:type="dxa"/>
            <w:bottom w:w="0" w:type="dxa"/>
            <w:right w:w="0" w:type="dxa"/>
          </w:tblCellMar>
        </w:tblPrEx>
        <w:tc>
          <w:tcPr>
            <w:tcW w:w="1410" w:type="dxa"/>
            <w:tcBorders>
              <w:top w:val="nil"/>
              <w:left w:val="single" w:color="9CC2E5" w:sz="6" w:space="0"/>
              <w:bottom w:val="single" w:color="9CC2E5" w:sz="6" w:space="0"/>
              <w:right w:val="single" w:color="9CC2E5" w:sz="6" w:space="0"/>
            </w:tcBorders>
            <w:shd w:val="clear" w:color="auto" w:fill="DEEAF6"/>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b/>
                <w:bCs/>
                <w:color w:val="0052FF"/>
                <w:spacing w:val="8"/>
                <w:kern w:val="0"/>
                <w:szCs w:val="21"/>
              </w:rPr>
              <w:t>15.生物测试</w:t>
            </w:r>
          </w:p>
        </w:tc>
        <w:tc>
          <w:tcPr>
            <w:tcW w:w="6804" w:type="dxa"/>
            <w:tcBorders>
              <w:top w:val="nil"/>
              <w:left w:val="nil"/>
              <w:bottom w:val="single" w:color="9CC2E5" w:sz="6" w:space="0"/>
              <w:right w:val="single" w:color="9CC2E5" w:sz="6" w:space="0"/>
            </w:tcBorders>
            <w:shd w:val="clear" w:color="auto" w:fill="DEEAF6"/>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color w:val="333333"/>
                <w:spacing w:val="8"/>
                <w:kern w:val="0"/>
                <w:sz w:val="18"/>
                <w:szCs w:val="18"/>
              </w:rPr>
              <w:t>生物外包项目，激光共聚焦显微镜，细胞毒性检测，抗菌试验，高通量测试，生物试剂订购，组织切片，蛋白印记  western blot，SDS-PAGE，生物组织冰冻切片，酶标仪，生物样品基础特性（蛋白/脂肪/灰分/水分）测试，荧光定量PCR，蛋白表达及纯化，流式细胞仪，菌株改造，ROS检测，液滴式数字PCR，酶联免疫吸附测试，生物扫描电镜（含前处理），溶血率测试，倒置荧光显微镜，蛋白质谱，生物透射电镜（含前处理），生物倒置显微镜，菌落鉴定，纳米CT（生物），免疫荧光，激光多普勒血流仪</w:t>
            </w:r>
          </w:p>
        </w:tc>
      </w:tr>
      <w:tr>
        <w:tblPrEx>
          <w:tblCellMar>
            <w:top w:w="0" w:type="dxa"/>
            <w:left w:w="0" w:type="dxa"/>
            <w:bottom w:w="0" w:type="dxa"/>
            <w:right w:w="0" w:type="dxa"/>
          </w:tblCellMar>
        </w:tblPrEx>
        <w:tc>
          <w:tcPr>
            <w:tcW w:w="1410" w:type="dxa"/>
            <w:tcBorders>
              <w:top w:val="nil"/>
              <w:left w:val="single" w:color="9CC2E5" w:sz="6" w:space="0"/>
              <w:bottom w:val="single" w:color="9CC2E5" w:sz="6" w:space="0"/>
              <w:right w:val="single" w:color="9CC2E5" w:sz="6" w:space="0"/>
            </w:tcBorders>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b/>
                <w:bCs/>
                <w:color w:val="0052FF"/>
                <w:spacing w:val="8"/>
                <w:kern w:val="0"/>
                <w:szCs w:val="21"/>
              </w:rPr>
              <w:t>16.环境检测</w:t>
            </w:r>
          </w:p>
        </w:tc>
        <w:tc>
          <w:tcPr>
            <w:tcW w:w="6804" w:type="dxa"/>
            <w:tcBorders>
              <w:top w:val="nil"/>
              <w:left w:val="nil"/>
              <w:bottom w:val="single" w:color="9CC2E5" w:sz="6" w:space="0"/>
              <w:right w:val="single" w:color="9CC2E5" w:sz="6" w:space="0"/>
            </w:tcBorders>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color w:val="333333"/>
                <w:spacing w:val="8"/>
                <w:kern w:val="0"/>
                <w:sz w:val="18"/>
                <w:szCs w:val="18"/>
              </w:rPr>
              <w:t>红外测油仪，水通量测试，农残检测，土壤检测（土壤、固体废物、底质、沉积物、污泥、生活垃圾、农林土壤），大气检测（空气、废气、室内空气），水质检测（废水、大气降水、生活饮用水、地表水、地下水、海水），冻融试验/湿热试验，氙灯老化试验箱，盐雾试验，Co60辐照处理，总有机卤素分析仪。充分发挥指南针整合资源的优势，土壤、污泥、沉积物、生活垃圾、废水、废气，等相关样品的常规指标及非常规指标我们均可检测，一站式满足您的需求氧指数测试仪</w:t>
            </w:r>
          </w:p>
        </w:tc>
      </w:tr>
      <w:tr>
        <w:tblPrEx>
          <w:tblCellMar>
            <w:top w:w="0" w:type="dxa"/>
            <w:left w:w="0" w:type="dxa"/>
            <w:bottom w:w="0" w:type="dxa"/>
            <w:right w:w="0" w:type="dxa"/>
          </w:tblCellMar>
        </w:tblPrEx>
        <w:tc>
          <w:tcPr>
            <w:tcW w:w="1410" w:type="dxa"/>
            <w:tcBorders>
              <w:top w:val="nil"/>
              <w:left w:val="single" w:color="9CC2E5" w:sz="6" w:space="0"/>
              <w:bottom w:val="single" w:color="9CC2E5" w:sz="6" w:space="0"/>
              <w:right w:val="single" w:color="9CC2E5" w:sz="6" w:space="0"/>
            </w:tcBorders>
            <w:shd w:val="clear" w:color="auto" w:fill="DEEAF6"/>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b/>
                <w:bCs/>
                <w:color w:val="0052FF"/>
                <w:spacing w:val="8"/>
                <w:kern w:val="0"/>
                <w:szCs w:val="21"/>
              </w:rPr>
              <w:t>17.食品检测</w:t>
            </w:r>
          </w:p>
        </w:tc>
        <w:tc>
          <w:tcPr>
            <w:tcW w:w="6804" w:type="dxa"/>
            <w:tcBorders>
              <w:top w:val="nil"/>
              <w:left w:val="nil"/>
              <w:bottom w:val="single" w:color="9CC2E5" w:sz="6" w:space="0"/>
              <w:right w:val="single" w:color="9CC2E5" w:sz="6" w:space="0"/>
            </w:tcBorders>
            <w:shd w:val="clear" w:color="auto" w:fill="DEEAF6"/>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color w:val="333333"/>
                <w:spacing w:val="8"/>
                <w:kern w:val="0"/>
                <w:sz w:val="18"/>
                <w:szCs w:val="18"/>
              </w:rPr>
              <w:t>食品微生物学检测，淀粉含量测定</w:t>
            </w:r>
          </w:p>
        </w:tc>
      </w:tr>
      <w:tr>
        <w:tblPrEx>
          <w:tblCellMar>
            <w:top w:w="0" w:type="dxa"/>
            <w:left w:w="0" w:type="dxa"/>
            <w:bottom w:w="0" w:type="dxa"/>
            <w:right w:w="0" w:type="dxa"/>
          </w:tblCellMar>
        </w:tblPrEx>
        <w:tc>
          <w:tcPr>
            <w:tcW w:w="1410" w:type="dxa"/>
            <w:tcBorders>
              <w:top w:val="nil"/>
              <w:left w:val="single" w:color="9CC2E5" w:sz="6" w:space="0"/>
              <w:bottom w:val="single" w:color="9CC2E5" w:sz="6" w:space="0"/>
              <w:right w:val="single" w:color="9CC2E5" w:sz="6" w:space="0"/>
            </w:tcBorders>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b/>
                <w:bCs/>
                <w:color w:val="0052FF"/>
                <w:spacing w:val="8"/>
                <w:kern w:val="0"/>
                <w:szCs w:val="21"/>
              </w:rPr>
              <w:t>18.模拟计算</w:t>
            </w:r>
          </w:p>
        </w:tc>
        <w:tc>
          <w:tcPr>
            <w:tcW w:w="6804" w:type="dxa"/>
            <w:tcBorders>
              <w:top w:val="nil"/>
              <w:left w:val="nil"/>
              <w:bottom w:val="single" w:color="9CC2E5" w:sz="6" w:space="0"/>
              <w:right w:val="single" w:color="9CC2E5" w:sz="6" w:space="0"/>
            </w:tcBorders>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color w:val="333333"/>
                <w:spacing w:val="8"/>
                <w:kern w:val="0"/>
                <w:sz w:val="18"/>
                <w:szCs w:val="18"/>
              </w:rPr>
              <w:t>基于量子力学或牛顿力学的第一性原理、密度泛函理论（DFT）、分子动力学等方法，可提供几何构型、电子相关性质、动力/热力学相关性质、生物相关模拟、有限元模拟（comsol）相关的模拟仿真服务</w:t>
            </w:r>
          </w:p>
        </w:tc>
      </w:tr>
      <w:tr>
        <w:tblPrEx>
          <w:tblCellMar>
            <w:top w:w="0" w:type="dxa"/>
            <w:left w:w="0" w:type="dxa"/>
            <w:bottom w:w="0" w:type="dxa"/>
            <w:right w:w="0" w:type="dxa"/>
          </w:tblCellMar>
        </w:tblPrEx>
        <w:tc>
          <w:tcPr>
            <w:tcW w:w="1410" w:type="dxa"/>
            <w:tcBorders>
              <w:top w:val="nil"/>
              <w:left w:val="single" w:color="9CC2E5" w:sz="6" w:space="0"/>
              <w:bottom w:val="single" w:color="9CC2E5" w:sz="6" w:space="0"/>
              <w:right w:val="single" w:color="9CC2E5" w:sz="6" w:space="0"/>
            </w:tcBorders>
            <w:shd w:val="clear" w:color="auto" w:fill="DEEAF6"/>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b/>
                <w:bCs/>
                <w:color w:val="0052FF"/>
                <w:spacing w:val="8"/>
                <w:kern w:val="0"/>
                <w:szCs w:val="21"/>
              </w:rPr>
              <w:t>19.费曼纳米</w:t>
            </w:r>
          </w:p>
        </w:tc>
        <w:tc>
          <w:tcPr>
            <w:tcW w:w="6804" w:type="dxa"/>
            <w:tcBorders>
              <w:top w:val="nil"/>
              <w:left w:val="nil"/>
              <w:bottom w:val="single" w:color="9CC2E5" w:sz="6" w:space="0"/>
              <w:right w:val="single" w:color="9CC2E5" w:sz="6" w:space="0"/>
            </w:tcBorders>
            <w:shd w:val="clear" w:color="auto" w:fill="DEEAF6"/>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color w:val="333333"/>
                <w:spacing w:val="8"/>
                <w:kern w:val="0"/>
                <w:sz w:val="18"/>
                <w:szCs w:val="18"/>
              </w:rPr>
              <w:t>只做平价且高品质纳米材料提供商，提供MXene、石墨烯、MOF、贵金属、微球、分子筛、量子点、TMDs等纳米材料，所有材料均有表征数据，绝对真实可靠</w:t>
            </w:r>
          </w:p>
        </w:tc>
      </w:tr>
      <w:tr>
        <w:tblPrEx>
          <w:tblCellMar>
            <w:top w:w="0" w:type="dxa"/>
            <w:left w:w="0" w:type="dxa"/>
            <w:bottom w:w="0" w:type="dxa"/>
            <w:right w:w="0" w:type="dxa"/>
          </w:tblCellMar>
        </w:tblPrEx>
        <w:tc>
          <w:tcPr>
            <w:tcW w:w="1410" w:type="dxa"/>
            <w:tcBorders>
              <w:top w:val="nil"/>
              <w:left w:val="single" w:color="9CC2E5" w:sz="6" w:space="0"/>
              <w:bottom w:val="single" w:color="9CC2E5" w:sz="6" w:space="0"/>
              <w:right w:val="single" w:color="9CC2E5" w:sz="6" w:space="0"/>
            </w:tcBorders>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b/>
                <w:bCs/>
                <w:color w:val="0052FF"/>
                <w:spacing w:val="8"/>
                <w:kern w:val="0"/>
                <w:szCs w:val="21"/>
              </w:rPr>
              <w:t>20.论文润色</w:t>
            </w:r>
          </w:p>
        </w:tc>
        <w:tc>
          <w:tcPr>
            <w:tcW w:w="6804" w:type="dxa"/>
            <w:tcBorders>
              <w:top w:val="nil"/>
              <w:left w:val="nil"/>
              <w:bottom w:val="single" w:color="9CC2E5" w:sz="6" w:space="0"/>
              <w:right w:val="single" w:color="9CC2E5" w:sz="6" w:space="0"/>
            </w:tcBorders>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color w:val="333333"/>
                <w:spacing w:val="8"/>
                <w:kern w:val="0"/>
                <w:sz w:val="18"/>
                <w:szCs w:val="18"/>
              </w:rPr>
              <w:t>全球领先的专业润色团队，资深母语编辑的平均润色经验超过 19 年，润色质量稳定可靠，还有论文查重服务。文件严格保密，可签署保密协议</w:t>
            </w:r>
          </w:p>
        </w:tc>
      </w:tr>
      <w:tr>
        <w:tblPrEx>
          <w:tblCellMar>
            <w:top w:w="0" w:type="dxa"/>
            <w:left w:w="0" w:type="dxa"/>
            <w:bottom w:w="0" w:type="dxa"/>
            <w:right w:w="0" w:type="dxa"/>
          </w:tblCellMar>
        </w:tblPrEx>
        <w:tc>
          <w:tcPr>
            <w:tcW w:w="1410" w:type="dxa"/>
            <w:tcBorders>
              <w:top w:val="nil"/>
              <w:left w:val="single" w:color="9CC2E5" w:sz="6" w:space="0"/>
              <w:bottom w:val="single" w:color="9CC2E5" w:sz="6" w:space="0"/>
              <w:right w:val="single" w:color="9CC2E5" w:sz="6" w:space="0"/>
            </w:tcBorders>
            <w:shd w:val="clear" w:color="auto" w:fill="DEEAF6"/>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b/>
                <w:bCs/>
                <w:color w:val="0052FF"/>
                <w:spacing w:val="8"/>
                <w:kern w:val="0"/>
                <w:szCs w:val="21"/>
              </w:rPr>
              <w:t>21.科研绘图</w:t>
            </w:r>
          </w:p>
        </w:tc>
        <w:tc>
          <w:tcPr>
            <w:tcW w:w="6804" w:type="dxa"/>
            <w:tcBorders>
              <w:top w:val="nil"/>
              <w:left w:val="nil"/>
              <w:bottom w:val="single" w:color="9CC2E5" w:sz="6" w:space="0"/>
              <w:right w:val="single" w:color="9CC2E5" w:sz="6" w:space="0"/>
            </w:tcBorders>
            <w:shd w:val="clear" w:color="auto" w:fill="DEEAF6"/>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color w:val="333333"/>
                <w:spacing w:val="8"/>
                <w:kern w:val="0"/>
                <w:sz w:val="18"/>
                <w:szCs w:val="18"/>
              </w:rPr>
              <w:t>一张精美达意的图片，胜过千言万语，我们可帮助您把千辛万苦做出的实验结果以最靓丽的方式呈献给别人。封面图，TOC，插图，科研动画，通通都能帮您解决</w:t>
            </w:r>
          </w:p>
        </w:tc>
      </w:tr>
      <w:tr>
        <w:tblPrEx>
          <w:tblCellMar>
            <w:top w:w="0" w:type="dxa"/>
            <w:left w:w="0" w:type="dxa"/>
            <w:bottom w:w="0" w:type="dxa"/>
            <w:right w:w="0" w:type="dxa"/>
          </w:tblCellMar>
        </w:tblPrEx>
        <w:tc>
          <w:tcPr>
            <w:tcW w:w="1410" w:type="dxa"/>
            <w:tcBorders>
              <w:top w:val="nil"/>
              <w:left w:val="single" w:color="9CC2E5" w:sz="6" w:space="0"/>
              <w:bottom w:val="single" w:color="9CC2E5" w:sz="6" w:space="0"/>
              <w:right w:val="single" w:color="9CC2E5" w:sz="6" w:space="0"/>
            </w:tcBorders>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b/>
                <w:bCs/>
                <w:color w:val="0052FF"/>
                <w:spacing w:val="8"/>
                <w:kern w:val="0"/>
                <w:szCs w:val="21"/>
              </w:rPr>
              <w:t>22.数据分析</w:t>
            </w:r>
          </w:p>
        </w:tc>
        <w:tc>
          <w:tcPr>
            <w:tcW w:w="6804" w:type="dxa"/>
            <w:tcBorders>
              <w:top w:val="nil"/>
              <w:left w:val="nil"/>
              <w:bottom w:val="single" w:color="9CC2E5" w:sz="6" w:space="0"/>
              <w:right w:val="single" w:color="9CC2E5" w:sz="6" w:space="0"/>
            </w:tcBorders>
            <w:tcMar>
              <w:top w:w="0" w:type="dxa"/>
              <w:left w:w="105" w:type="dxa"/>
              <w:bottom w:w="0" w:type="dxa"/>
              <w:right w:w="105" w:type="dxa"/>
            </w:tcMar>
          </w:tcPr>
          <w:p>
            <w:pPr>
              <w:widowControl/>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color w:val="333333"/>
                <w:spacing w:val="8"/>
                <w:kern w:val="0"/>
                <w:sz w:val="18"/>
                <w:szCs w:val="18"/>
              </w:rPr>
              <w:t>可提供XPS、UPS、XRD、TEM、EBSD、FTIR、NMR、电化学，单晶解析、同步辐射、矢量网络分析仪等测试的数据分析服务，数据严格保密，助您科研无忧</w:t>
            </w:r>
          </w:p>
        </w:tc>
      </w:tr>
      <w:tr>
        <w:tblPrEx>
          <w:tblCellMar>
            <w:top w:w="0" w:type="dxa"/>
            <w:left w:w="0" w:type="dxa"/>
            <w:bottom w:w="0" w:type="dxa"/>
            <w:right w:w="0" w:type="dxa"/>
          </w:tblCellMar>
        </w:tblPrEx>
        <w:tc>
          <w:tcPr>
            <w:tcW w:w="1410" w:type="dxa"/>
            <w:tcBorders>
              <w:top w:val="nil"/>
              <w:left w:val="single" w:color="9CC2E5" w:sz="6" w:space="0"/>
              <w:bottom w:val="single" w:color="9CC2E5" w:sz="6" w:space="0"/>
              <w:right w:val="single" w:color="9CC2E5" w:sz="6" w:space="0"/>
            </w:tcBorders>
            <w:shd w:val="clear" w:color="auto" w:fill="DEEAF6"/>
            <w:tcMar>
              <w:top w:w="0" w:type="dxa"/>
              <w:left w:w="105" w:type="dxa"/>
              <w:bottom w:w="0" w:type="dxa"/>
              <w:right w:w="105" w:type="dxa"/>
            </w:tcMar>
          </w:tcPr>
          <w:p>
            <w:pPr>
              <w:widowControl/>
              <w:wordWrap w:val="0"/>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b/>
                <w:bCs/>
                <w:color w:val="0052FF"/>
                <w:spacing w:val="8"/>
                <w:kern w:val="0"/>
                <w:szCs w:val="21"/>
              </w:rPr>
              <w:t>23.指南针学院</w:t>
            </w:r>
          </w:p>
        </w:tc>
        <w:tc>
          <w:tcPr>
            <w:tcW w:w="6804" w:type="dxa"/>
            <w:tcBorders>
              <w:top w:val="nil"/>
              <w:left w:val="nil"/>
              <w:bottom w:val="single" w:color="9CC2E5" w:sz="6" w:space="0"/>
              <w:right w:val="single" w:color="9CC2E5" w:sz="6" w:space="0"/>
            </w:tcBorders>
            <w:shd w:val="clear" w:color="auto" w:fill="DEEAF6"/>
            <w:tcMar>
              <w:top w:w="0" w:type="dxa"/>
              <w:left w:w="105" w:type="dxa"/>
              <w:bottom w:w="0" w:type="dxa"/>
              <w:right w:w="105" w:type="dxa"/>
            </w:tcMar>
          </w:tcPr>
          <w:p>
            <w:pPr>
              <w:widowControl/>
              <w:wordWrap w:val="0"/>
              <w:rPr>
                <w:rFonts w:ascii="Microsoft YaHei UI" w:hAnsi="Microsoft YaHei UI" w:eastAsia="Microsoft YaHei UI" w:cs="宋体"/>
                <w:color w:val="333333"/>
                <w:kern w:val="0"/>
                <w:sz w:val="26"/>
                <w:szCs w:val="26"/>
              </w:rPr>
            </w:pPr>
            <w:r>
              <w:rPr>
                <w:rFonts w:hint="eastAsia" w:ascii="Microsoft YaHei UI" w:hAnsi="Microsoft YaHei UI" w:eastAsia="Microsoft YaHei UI" w:cs="宋体"/>
                <w:color w:val="333333"/>
                <w:spacing w:val="8"/>
                <w:kern w:val="0"/>
                <w:sz w:val="18"/>
                <w:szCs w:val="18"/>
              </w:rPr>
              <w:t>可提供XPS、XRD、单晶、TEM、电化学等测试、模拟计算、绘图等专业直播培训课程</w:t>
            </w:r>
          </w:p>
        </w:tc>
      </w:tr>
    </w:tbl>
    <w:p>
      <w:pPr>
        <w:rPr>
          <w:rFonts w:ascii="宋体" w:hAnsi="宋体" w:eastAsia="宋体"/>
          <w:sz w:val="24"/>
          <w:szCs w:val="24"/>
        </w:rPr>
      </w:pPr>
    </w:p>
    <w:p>
      <w:pPr>
        <w:spacing w:line="560" w:lineRule="exact"/>
        <w:ind w:right="280" w:firstLine="560" w:firstLineChars="200"/>
        <w:jc w:val="left"/>
        <w:rPr>
          <w:rFonts w:hint="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Microsoft YaHei UI">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176D9"/>
    <w:multiLevelType w:val="multilevel"/>
    <w:tmpl w:val="298176D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321F0DD0"/>
    <w:multiLevelType w:val="multilevel"/>
    <w:tmpl w:val="321F0DD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38930B99"/>
    <w:multiLevelType w:val="multilevel"/>
    <w:tmpl w:val="38930B9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C19"/>
    <w:rsid w:val="00126282"/>
    <w:rsid w:val="002D7EB1"/>
    <w:rsid w:val="00664C68"/>
    <w:rsid w:val="00744E75"/>
    <w:rsid w:val="00760D82"/>
    <w:rsid w:val="007A51F9"/>
    <w:rsid w:val="00884B55"/>
    <w:rsid w:val="00B75C19"/>
    <w:rsid w:val="00CE1FA9"/>
    <w:rsid w:val="00D715BC"/>
    <w:rsid w:val="617F07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0"/>
    <w:semiHidden/>
    <w:unhideWhenUsed/>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uiPriority w:val="99"/>
    <w:rPr>
      <w:color w:val="0000FF" w:themeColor="hyperlink"/>
      <w:u w:val="single"/>
    </w:rPr>
  </w:style>
  <w:style w:type="character" w:customStyle="1" w:styleId="8">
    <w:name w:val="页眉 字符"/>
    <w:basedOn w:val="6"/>
    <w:link w:val="4"/>
    <w:uiPriority w:val="99"/>
    <w:rPr>
      <w:sz w:val="18"/>
      <w:szCs w:val="18"/>
    </w:rPr>
  </w:style>
  <w:style w:type="character" w:customStyle="1" w:styleId="9">
    <w:name w:val="页脚 字符"/>
    <w:basedOn w:val="6"/>
    <w:link w:val="3"/>
    <w:uiPriority w:val="99"/>
    <w:rPr>
      <w:sz w:val="18"/>
      <w:szCs w:val="18"/>
    </w:rPr>
  </w:style>
  <w:style w:type="character" w:customStyle="1" w:styleId="10">
    <w:name w:val="日期 字符"/>
    <w:basedOn w:val="6"/>
    <w:link w:val="2"/>
    <w:semiHidden/>
    <w:uiPriority w:val="99"/>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785</Words>
  <Characters>4481</Characters>
  <Lines>37</Lines>
  <Paragraphs>10</Paragraphs>
  <TotalTime>62</TotalTime>
  <ScaleCrop>false</ScaleCrop>
  <LinksUpToDate>false</LinksUpToDate>
  <CharactersWithSpaces>5256</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2020-11-22T12:45:00Z</dcterms:created>
  <dc:creator>lenovo</dc:creator>
  <cp:lastModifiedBy>杨云斌</cp:lastModifiedBy>
  <dcterms:modified xsi:type="dcterms:W3CDTF">2020-12-02T15:26:12Z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