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4E8C4">
      <w:pPr>
        <w:tabs>
          <w:tab w:val="center" w:pos="4252"/>
        </w:tabs>
        <w:snapToGrid w:val="0"/>
        <w:spacing w:line="520" w:lineRule="exact"/>
        <w:ind w:right="-340" w:rightChars="-162"/>
        <w:jc w:val="center"/>
        <w:rPr>
          <w:rFonts w:ascii="仿宋_GB2312" w:hAnsi="仿宋" w:eastAsia="仿宋_GB2312"/>
          <w:b/>
          <w:sz w:val="32"/>
          <w:szCs w:val="32"/>
        </w:rPr>
      </w:pPr>
      <w:r>
        <w:rPr>
          <w:rFonts w:hint="eastAsia" w:ascii="仿宋_GB2312" w:hAnsi="仿宋" w:eastAsia="仿宋_GB2312"/>
          <w:b/>
          <w:sz w:val="32"/>
          <w:szCs w:val="32"/>
        </w:rPr>
        <w:t>2026年暑期社会实践“揭榜挂帅”榜</w:t>
      </w:r>
      <w:r>
        <w:rPr>
          <w:rFonts w:hint="eastAsia" w:ascii="仿宋_GB2312" w:hAnsi="仿宋" w:eastAsia="仿宋_GB2312"/>
          <w:b/>
          <w:sz w:val="32"/>
          <w:szCs w:val="32"/>
          <w:lang w:val="en-US" w:eastAsia="zh-CN"/>
        </w:rPr>
        <w:t>单</w:t>
      </w:r>
      <w:r>
        <w:rPr>
          <w:rFonts w:hint="eastAsia" w:ascii="仿宋_GB2312" w:hAnsi="仿宋" w:eastAsia="仿宋_GB2312"/>
          <w:b/>
          <w:sz w:val="32"/>
          <w:szCs w:val="32"/>
        </w:rPr>
        <w:t>征集表</w:t>
      </w:r>
    </w:p>
    <w:tbl>
      <w:tblPr>
        <w:tblStyle w:val="6"/>
        <w:tblpPr w:leftFromText="180" w:rightFromText="180" w:vertAnchor="text" w:horzAnchor="margin" w:tblpXSpec="center" w:tblpY="317"/>
        <w:tblW w:w="10100" w:type="dxa"/>
        <w:tblInd w:w="0" w:type="dxa"/>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Layout w:type="fixed"/>
        <w:tblCellMar>
          <w:top w:w="0" w:type="dxa"/>
          <w:left w:w="108" w:type="dxa"/>
          <w:bottom w:w="0" w:type="dxa"/>
          <w:right w:w="108" w:type="dxa"/>
        </w:tblCellMar>
      </w:tblPr>
      <w:tblGrid>
        <w:gridCol w:w="1834"/>
        <w:gridCol w:w="1393"/>
        <w:gridCol w:w="1275"/>
        <w:gridCol w:w="1397"/>
        <w:gridCol w:w="1981"/>
        <w:gridCol w:w="2220"/>
      </w:tblGrid>
      <w:tr w14:paraId="13113681">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609289F5">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ascii="仿宋_GB2312" w:hAnsi="仿宋" w:eastAsia="仿宋_GB2312"/>
                <w:sz w:val="24"/>
                <w:szCs w:val="32"/>
              </w:rPr>
            </w:pPr>
            <w:r>
              <w:rPr>
                <w:rFonts w:hint="eastAsia" w:ascii="仿宋_GB2312" w:hAnsi="仿宋" w:eastAsia="仿宋_GB2312"/>
                <w:sz w:val="24"/>
                <w:szCs w:val="32"/>
                <w:lang w:val="en-US" w:eastAsia="zh-CN"/>
              </w:rPr>
              <w:t>榜单</w:t>
            </w:r>
            <w:r>
              <w:rPr>
                <w:rFonts w:hint="eastAsia" w:ascii="仿宋_GB2312" w:hAnsi="仿宋" w:eastAsia="仿宋_GB2312"/>
                <w:sz w:val="24"/>
                <w:szCs w:val="32"/>
              </w:rPr>
              <w:t>名称</w:t>
            </w:r>
          </w:p>
        </w:tc>
        <w:tc>
          <w:tcPr>
            <w:tcW w:w="8266" w:type="dxa"/>
            <w:gridSpan w:val="5"/>
            <w:vAlign w:val="center"/>
          </w:tcPr>
          <w:p w14:paraId="70C36547">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ascii="仿宋_GB2312" w:hAnsi="仿宋" w:eastAsia="仿宋_GB2312"/>
                <w:sz w:val="24"/>
                <w:szCs w:val="32"/>
              </w:rPr>
            </w:pPr>
            <w:r>
              <w:rPr>
                <w:rFonts w:hint="eastAsia" w:ascii="仿宋_GB2312" w:hAnsi="仿宋" w:eastAsia="仿宋_GB2312"/>
                <w:sz w:val="24"/>
                <w:szCs w:val="32"/>
                <w:lang w:eastAsia="zh-CN"/>
              </w:rPr>
              <w:t>科右前旗沙果产业带动就业扶贫与乡村振兴调研实践</w:t>
            </w:r>
          </w:p>
        </w:tc>
      </w:tr>
      <w:tr w14:paraId="64065360">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22C77975">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出题单位</w:t>
            </w:r>
          </w:p>
        </w:tc>
        <w:tc>
          <w:tcPr>
            <w:tcW w:w="8266" w:type="dxa"/>
            <w:gridSpan w:val="5"/>
            <w:vAlign w:val="center"/>
          </w:tcPr>
          <w:p w14:paraId="0076C350">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国内合作与校友工作处</w:t>
            </w:r>
          </w:p>
        </w:tc>
      </w:tr>
      <w:tr w14:paraId="0440CD84">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4D219C27">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是否联合校外单位出题</w:t>
            </w:r>
          </w:p>
        </w:tc>
        <w:tc>
          <w:tcPr>
            <w:tcW w:w="4065" w:type="dxa"/>
            <w:gridSpan w:val="3"/>
            <w:vAlign w:val="center"/>
          </w:tcPr>
          <w:p w14:paraId="48468463">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eastAsia" w:ascii="仿宋_GB2312" w:hAnsi="仿宋" w:eastAsia="宋体"/>
                <w:sz w:val="24"/>
                <w:szCs w:val="32"/>
                <w:lang w:val="en-US" w:eastAsia="zh-CN"/>
              </w:rPr>
            </w:pPr>
            <w:r>
              <w:rPr>
                <w:rFonts w:hint="eastAsia" w:ascii="仿宋_GB2312" w:hAnsi="仿宋" w:eastAsia="仿宋_GB2312"/>
                <w:sz w:val="24"/>
                <w:szCs w:val="32"/>
                <w:lang w:val="en-US" w:eastAsia="zh-CN"/>
              </w:rPr>
              <w:t>□是☑否</w:t>
            </w:r>
          </w:p>
        </w:tc>
        <w:tc>
          <w:tcPr>
            <w:tcW w:w="4201" w:type="dxa"/>
            <w:gridSpan w:val="2"/>
            <w:vAlign w:val="center"/>
          </w:tcPr>
          <w:p w14:paraId="53654A05">
            <w:pPr>
              <w:keepNext w:val="0"/>
              <w:keepLines w:val="0"/>
              <w:pageBreakBefore w:val="0"/>
              <w:widowControl w:val="0"/>
              <w:kinsoku/>
              <w:wordWrap/>
              <w:overflowPunct/>
              <w:topLinePunct w:val="0"/>
              <w:autoSpaceDE/>
              <w:autoSpaceDN/>
              <w:bidi w:val="0"/>
              <w:adjustRightInd/>
              <w:snapToGrid/>
              <w:spacing w:line="320" w:lineRule="exact"/>
              <w:ind w:firstLine="352" w:firstLineChars="147"/>
              <w:jc w:val="center"/>
              <w:textAlignment w:val="auto"/>
              <w:rPr>
                <w:rFonts w:hint="default" w:ascii="仿宋_GB2312" w:hAnsi="仿宋" w:eastAsia="仿宋_GB2312"/>
                <w:sz w:val="24"/>
                <w:szCs w:val="32"/>
                <w:lang w:val="en-US" w:eastAsia="zh-CN"/>
              </w:rPr>
            </w:pPr>
          </w:p>
        </w:tc>
      </w:tr>
      <w:tr w14:paraId="28908A29">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1664A0F2">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建议参与专业</w:t>
            </w:r>
          </w:p>
        </w:tc>
        <w:tc>
          <w:tcPr>
            <w:tcW w:w="4065" w:type="dxa"/>
            <w:gridSpan w:val="3"/>
            <w:vAlign w:val="center"/>
          </w:tcPr>
          <w:p w14:paraId="2D7F329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经济林、林学、林经、电商、食品等</w:t>
            </w:r>
          </w:p>
        </w:tc>
        <w:tc>
          <w:tcPr>
            <w:tcW w:w="1981" w:type="dxa"/>
            <w:vAlign w:val="center"/>
          </w:tcPr>
          <w:p w14:paraId="03C49A0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仿宋" w:eastAsia="仿宋_GB2312"/>
                <w:sz w:val="24"/>
                <w:szCs w:val="32"/>
              </w:rPr>
            </w:pPr>
            <w:r>
              <w:rPr>
                <w:rFonts w:hint="eastAsia" w:ascii="仿宋_GB2312" w:hAnsi="仿宋" w:eastAsia="仿宋_GB2312"/>
                <w:sz w:val="24"/>
                <w:szCs w:val="32"/>
                <w:lang w:val="en-US" w:eastAsia="zh-CN"/>
              </w:rPr>
              <w:t>建议</w:t>
            </w:r>
            <w:r>
              <w:rPr>
                <w:rFonts w:hint="eastAsia" w:ascii="仿宋_GB2312" w:hAnsi="仿宋" w:eastAsia="仿宋_GB2312"/>
                <w:sz w:val="24"/>
                <w:szCs w:val="32"/>
              </w:rPr>
              <w:t>实践日期</w:t>
            </w:r>
          </w:p>
        </w:tc>
        <w:tc>
          <w:tcPr>
            <w:tcW w:w="2220" w:type="dxa"/>
            <w:vAlign w:val="center"/>
          </w:tcPr>
          <w:p w14:paraId="2856E4B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2026年7月-8月</w:t>
            </w:r>
          </w:p>
        </w:tc>
      </w:tr>
      <w:tr w14:paraId="1032B2EE">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4C110649">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ascii="仿宋_GB2312" w:hAnsi="仿宋" w:eastAsia="仿宋_GB2312"/>
                <w:sz w:val="24"/>
                <w:szCs w:val="32"/>
              </w:rPr>
            </w:pPr>
            <w:r>
              <w:rPr>
                <w:rFonts w:hint="eastAsia" w:ascii="仿宋_GB2312" w:hAnsi="仿宋" w:eastAsia="仿宋_GB2312"/>
                <w:sz w:val="24"/>
                <w:szCs w:val="32"/>
                <w:lang w:val="en-US" w:eastAsia="zh-CN"/>
              </w:rPr>
              <w:t>建议</w:t>
            </w:r>
            <w:r>
              <w:rPr>
                <w:rFonts w:hint="eastAsia" w:ascii="仿宋_GB2312" w:hAnsi="仿宋" w:eastAsia="仿宋_GB2312"/>
                <w:sz w:val="24"/>
                <w:szCs w:val="32"/>
              </w:rPr>
              <w:t>实践地点</w:t>
            </w:r>
          </w:p>
        </w:tc>
        <w:tc>
          <w:tcPr>
            <w:tcW w:w="4065" w:type="dxa"/>
            <w:gridSpan w:val="3"/>
            <w:vAlign w:val="center"/>
          </w:tcPr>
          <w:p w14:paraId="442AEB9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内蒙古自治区兴安盟科尔沁右翼前旗</w:t>
            </w:r>
          </w:p>
        </w:tc>
        <w:tc>
          <w:tcPr>
            <w:tcW w:w="1981" w:type="dxa"/>
            <w:vAlign w:val="center"/>
          </w:tcPr>
          <w:p w14:paraId="3D9E091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仿宋" w:eastAsia="仿宋_GB2312"/>
                <w:sz w:val="24"/>
                <w:szCs w:val="32"/>
              </w:rPr>
            </w:pPr>
            <w:r>
              <w:rPr>
                <w:rFonts w:hint="eastAsia" w:ascii="仿宋_GB2312" w:hAnsi="仿宋" w:eastAsia="仿宋_GB2312"/>
                <w:sz w:val="24"/>
                <w:szCs w:val="32"/>
                <w:lang w:val="en-US" w:eastAsia="zh-CN"/>
              </w:rPr>
              <w:t>建议</w:t>
            </w:r>
            <w:r>
              <w:rPr>
                <w:rFonts w:hint="eastAsia" w:ascii="仿宋_GB2312" w:hAnsi="仿宋" w:eastAsia="仿宋_GB2312"/>
                <w:sz w:val="24"/>
                <w:szCs w:val="32"/>
              </w:rPr>
              <w:t>团队人数</w:t>
            </w:r>
          </w:p>
        </w:tc>
        <w:tc>
          <w:tcPr>
            <w:tcW w:w="2220" w:type="dxa"/>
            <w:vAlign w:val="center"/>
          </w:tcPr>
          <w:p w14:paraId="72CF27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10</w:t>
            </w:r>
          </w:p>
        </w:tc>
      </w:tr>
      <w:tr w14:paraId="5958729B">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5B9AF7A8">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default" w:ascii="仿宋_GB2312" w:hAnsi="仿宋" w:eastAsia="仿宋_GB2312"/>
                <w:sz w:val="24"/>
                <w:szCs w:val="32"/>
                <w:lang w:val="en-US" w:eastAsia="zh-CN"/>
              </w:rPr>
              <w:t>涉及保密事项</w:t>
            </w:r>
          </w:p>
        </w:tc>
        <w:tc>
          <w:tcPr>
            <w:tcW w:w="4065" w:type="dxa"/>
            <w:gridSpan w:val="3"/>
            <w:vAlign w:val="center"/>
          </w:tcPr>
          <w:p w14:paraId="32BF4E5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_GB2312" w:hAnsi="仿宋" w:eastAsia="仿宋_GB2312"/>
                <w:sz w:val="24"/>
                <w:szCs w:val="32"/>
              </w:rPr>
            </w:pPr>
            <w:r>
              <w:rPr>
                <w:rFonts w:hint="eastAsia" w:ascii="仿宋_GB2312" w:hAnsi="仿宋" w:eastAsia="仿宋_GB2312"/>
                <w:sz w:val="24"/>
                <w:szCs w:val="32"/>
                <w:lang w:val="en-US" w:eastAsia="zh-CN"/>
              </w:rPr>
              <w:t>□是（请简要说明）☑否</w:t>
            </w:r>
          </w:p>
        </w:tc>
        <w:tc>
          <w:tcPr>
            <w:tcW w:w="1981" w:type="dxa"/>
            <w:vAlign w:val="center"/>
          </w:tcPr>
          <w:p w14:paraId="2E405F6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 w:eastAsia="仿宋_GB2312"/>
                <w:sz w:val="24"/>
                <w:szCs w:val="32"/>
                <w:lang w:val="en-US" w:eastAsia="zh-CN"/>
              </w:rPr>
            </w:pPr>
            <w:r>
              <w:rPr>
                <w:rFonts w:hint="default" w:ascii="仿宋_GB2312" w:hAnsi="仿宋" w:eastAsia="仿宋_GB2312"/>
                <w:sz w:val="22"/>
                <w:szCs w:val="28"/>
                <w:lang w:val="en-US" w:eastAsia="zh-CN"/>
              </w:rPr>
              <w:t>预期</w:t>
            </w:r>
            <w:r>
              <w:rPr>
                <w:rFonts w:hint="eastAsia" w:ascii="仿宋_GB2312" w:hAnsi="仿宋" w:eastAsia="仿宋_GB2312"/>
                <w:sz w:val="22"/>
                <w:szCs w:val="28"/>
                <w:lang w:val="en-US" w:eastAsia="zh-CN"/>
              </w:rPr>
              <w:t>匹配</w:t>
            </w:r>
            <w:r>
              <w:rPr>
                <w:rFonts w:hint="default" w:ascii="仿宋_GB2312" w:hAnsi="仿宋" w:eastAsia="仿宋_GB2312"/>
                <w:sz w:val="22"/>
                <w:szCs w:val="28"/>
                <w:lang w:val="en-US" w:eastAsia="zh-CN"/>
              </w:rPr>
              <w:t>团队数量</w:t>
            </w:r>
          </w:p>
        </w:tc>
        <w:tc>
          <w:tcPr>
            <w:tcW w:w="2220" w:type="dxa"/>
            <w:vAlign w:val="center"/>
          </w:tcPr>
          <w:p w14:paraId="42FF62A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1-2</w:t>
            </w:r>
          </w:p>
        </w:tc>
      </w:tr>
      <w:tr w14:paraId="18E1BD8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restart"/>
            <w:vAlign w:val="center"/>
          </w:tcPr>
          <w:p w14:paraId="65DA6760">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联系人</w:t>
            </w:r>
          </w:p>
        </w:tc>
        <w:tc>
          <w:tcPr>
            <w:tcW w:w="1393" w:type="dxa"/>
            <w:vAlign w:val="center"/>
          </w:tcPr>
          <w:p w14:paraId="5F068A8E">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rPr>
              <w:t>姓名</w:t>
            </w:r>
          </w:p>
        </w:tc>
        <w:tc>
          <w:tcPr>
            <w:tcW w:w="1275" w:type="dxa"/>
            <w:vAlign w:val="center"/>
          </w:tcPr>
          <w:p w14:paraId="13988018">
            <w:pPr>
              <w:spacing w:line="360" w:lineRule="auto"/>
              <w:ind w:left="0" w:leftChars="0" w:firstLine="0" w:firstLineChars="0"/>
              <w:jc w:val="center"/>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孙永江</w:t>
            </w:r>
          </w:p>
        </w:tc>
        <w:tc>
          <w:tcPr>
            <w:tcW w:w="1397" w:type="dxa"/>
            <w:vAlign w:val="center"/>
          </w:tcPr>
          <w:p w14:paraId="645696E9">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rPr>
            </w:pPr>
            <w:r>
              <w:rPr>
                <w:rFonts w:hint="eastAsia" w:ascii="仿宋_GB2312" w:hAnsi="仿宋" w:eastAsia="仿宋_GB2312"/>
                <w:sz w:val="24"/>
                <w:szCs w:val="32"/>
              </w:rPr>
              <w:t>联系电话</w:t>
            </w:r>
          </w:p>
        </w:tc>
        <w:tc>
          <w:tcPr>
            <w:tcW w:w="4201" w:type="dxa"/>
            <w:gridSpan w:val="2"/>
            <w:vAlign w:val="center"/>
          </w:tcPr>
          <w:p w14:paraId="15BBA58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p>
        </w:tc>
      </w:tr>
      <w:tr w14:paraId="4596C9D8">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continue"/>
            <w:vAlign w:val="center"/>
          </w:tcPr>
          <w:p w14:paraId="1FD03E0B">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rPr>
            </w:pPr>
          </w:p>
        </w:tc>
        <w:tc>
          <w:tcPr>
            <w:tcW w:w="1393" w:type="dxa"/>
            <w:vAlign w:val="center"/>
          </w:tcPr>
          <w:p w14:paraId="0674B133">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rPr>
            </w:pPr>
            <w:r>
              <w:rPr>
                <w:rFonts w:hint="eastAsia" w:ascii="仿宋_GB2312" w:hAnsi="仿宋" w:eastAsia="仿宋_GB2312"/>
                <w:sz w:val="24"/>
                <w:szCs w:val="32"/>
              </w:rPr>
              <w:t>职务/职称</w:t>
            </w:r>
          </w:p>
        </w:tc>
        <w:tc>
          <w:tcPr>
            <w:tcW w:w="1275" w:type="dxa"/>
            <w:vAlign w:val="center"/>
          </w:tcPr>
          <w:p w14:paraId="1AE15B77">
            <w:pPr>
              <w:spacing w:line="360" w:lineRule="auto"/>
              <w:ind w:left="0" w:leftChars="0" w:firstLine="0" w:firstLineChars="0"/>
              <w:jc w:val="center"/>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w:t>
            </w:r>
          </w:p>
        </w:tc>
        <w:tc>
          <w:tcPr>
            <w:tcW w:w="1397" w:type="dxa"/>
            <w:vAlign w:val="center"/>
          </w:tcPr>
          <w:p w14:paraId="2D7CFBAC">
            <w:pPr>
              <w:keepNext w:val="0"/>
              <w:keepLines w:val="0"/>
              <w:pageBreakBefore w:val="0"/>
              <w:widowControl w:val="0"/>
              <w:kinsoku/>
              <w:wordWrap/>
              <w:overflowPunct/>
              <w:topLinePunct w:val="0"/>
              <w:autoSpaceDE/>
              <w:autoSpaceDN/>
              <w:bidi w:val="0"/>
              <w:adjustRightInd/>
              <w:snapToGrid/>
              <w:spacing w:before="60" w:after="60" w:line="320" w:lineRule="exact"/>
              <w:jc w:val="center"/>
              <w:textAlignment w:val="auto"/>
              <w:rPr>
                <w:rFonts w:hint="eastAsia" w:ascii="仿宋_GB2312" w:hAnsi="仿宋" w:eastAsia="仿宋_GB2312"/>
                <w:sz w:val="24"/>
                <w:szCs w:val="32"/>
              </w:rPr>
            </w:pPr>
            <w:r>
              <w:rPr>
                <w:rFonts w:hint="eastAsia" w:ascii="仿宋_GB2312" w:hAnsi="仿宋" w:eastAsia="仿宋_GB2312"/>
                <w:sz w:val="24"/>
                <w:szCs w:val="32"/>
              </w:rPr>
              <w:t>电子邮箱</w:t>
            </w:r>
          </w:p>
        </w:tc>
        <w:tc>
          <w:tcPr>
            <w:tcW w:w="4201" w:type="dxa"/>
            <w:gridSpan w:val="2"/>
            <w:vAlign w:val="center"/>
          </w:tcPr>
          <w:p w14:paraId="00B17D8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w:t>
            </w:r>
          </w:p>
        </w:tc>
      </w:tr>
      <w:tr w14:paraId="460FD43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45" w:hRule="atLeast"/>
        </w:trPr>
        <w:tc>
          <w:tcPr>
            <w:tcW w:w="1834" w:type="dxa"/>
            <w:vAlign w:val="center"/>
          </w:tcPr>
          <w:p w14:paraId="22CEB02E">
            <w:pPr>
              <w:spacing w:line="520" w:lineRule="exact"/>
              <w:jc w:val="center"/>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题目介绍</w:t>
            </w:r>
          </w:p>
          <w:p w14:paraId="73ED5BD9">
            <w:pPr>
              <w:spacing w:line="520" w:lineRule="exact"/>
              <w:jc w:val="center"/>
              <w:rPr>
                <w:rFonts w:hint="eastAsia" w:ascii="仿宋_GB2312" w:hAnsi="仿宋" w:eastAsia="仿宋_GB2312"/>
                <w:sz w:val="24"/>
                <w:szCs w:val="32"/>
                <w:lang w:eastAsia="zh-CN"/>
              </w:rPr>
            </w:pPr>
            <w:r>
              <w:rPr>
                <w:rFonts w:hint="eastAsia" w:ascii="仿宋_GB2312" w:hAnsi="仿宋" w:eastAsia="仿宋_GB2312"/>
                <w:sz w:val="18"/>
                <w:szCs w:val="21"/>
                <w:lang w:eastAsia="zh-CN"/>
              </w:rPr>
              <w:t>（</w:t>
            </w:r>
            <w:r>
              <w:rPr>
                <w:rFonts w:hint="eastAsia" w:ascii="仿宋_GB2312" w:hAnsi="仿宋" w:eastAsia="仿宋_GB2312"/>
                <w:sz w:val="18"/>
                <w:szCs w:val="21"/>
              </w:rPr>
              <w:t>背景与现实需求</w:t>
            </w:r>
            <w:r>
              <w:rPr>
                <w:rFonts w:hint="eastAsia" w:ascii="仿宋_GB2312" w:hAnsi="仿宋" w:eastAsia="仿宋_GB2312"/>
                <w:sz w:val="18"/>
                <w:szCs w:val="21"/>
                <w:lang w:eastAsia="zh-CN"/>
              </w:rPr>
              <w:t>）</w:t>
            </w:r>
          </w:p>
        </w:tc>
        <w:tc>
          <w:tcPr>
            <w:tcW w:w="8266" w:type="dxa"/>
            <w:gridSpan w:val="5"/>
          </w:tcPr>
          <w:p w14:paraId="0BAE0AB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ascii="仿宋_GB2312" w:hAnsi="仿宋" w:eastAsia="仿宋_GB2312"/>
                <w:sz w:val="24"/>
                <w:szCs w:val="32"/>
              </w:rPr>
            </w:pPr>
            <w:r>
              <w:rPr>
                <w:rFonts w:hint="eastAsia" w:ascii="仿宋_GB2312" w:hAnsi="仿宋" w:eastAsia="仿宋_GB2312"/>
                <w:sz w:val="24"/>
                <w:szCs w:val="32"/>
              </w:rPr>
              <w:t>本项目以内蒙古兴安盟科右前旗沙果产业为核心观察对象，以龙头企业恒佳果业有限公司为典型调研基地，聚焦“特色产业赋能乡村发展”与“就地就近就业增收”两大主线，旨在深入基层一线，探寻边疆少数民族地区在巩固拓展脱贫攻坚成果基础上，以“小沙果”撬动“大振兴”、以产业带就业、以就业促增收、以增收稳振兴的发展路径。</w:t>
            </w:r>
          </w:p>
        </w:tc>
      </w:tr>
      <w:tr w14:paraId="7C65E38C">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684D99D9">
            <w:pPr>
              <w:spacing w:line="520" w:lineRule="exact"/>
              <w:jc w:val="center"/>
              <w:rPr>
                <w:rFonts w:ascii="仿宋_GB2312" w:hAnsi="仿宋" w:eastAsia="仿宋_GB2312"/>
                <w:sz w:val="24"/>
                <w:szCs w:val="32"/>
              </w:rPr>
            </w:pPr>
            <w:r>
              <w:rPr>
                <w:rFonts w:hint="eastAsia" w:ascii="仿宋_GB2312" w:hAnsi="仿宋" w:eastAsia="仿宋_GB2312"/>
                <w:sz w:val="24"/>
                <w:szCs w:val="32"/>
              </w:rPr>
              <w:t>主要任务内容</w:t>
            </w:r>
          </w:p>
        </w:tc>
        <w:tc>
          <w:tcPr>
            <w:tcW w:w="8266" w:type="dxa"/>
            <w:gridSpan w:val="5"/>
          </w:tcPr>
          <w:p w14:paraId="4A7482A3">
            <w:pPr>
              <w:widowControl/>
              <w:spacing w:line="360" w:lineRule="auto"/>
              <w:jc w:val="left"/>
              <w:rPr>
                <w:rFonts w:hint="eastAsia" w:ascii="仿宋_GB2312" w:hAnsi="仿宋" w:eastAsia="仿宋_GB2312"/>
                <w:sz w:val="24"/>
                <w:szCs w:val="32"/>
              </w:rPr>
            </w:pPr>
            <w:r>
              <w:rPr>
                <w:rFonts w:hint="eastAsia" w:ascii="仿宋_GB2312" w:hAnsi="仿宋" w:eastAsia="仿宋_GB2312"/>
                <w:sz w:val="24"/>
                <w:szCs w:val="32"/>
              </w:rPr>
              <w:t>1.实地走访：调研当地沙果产业现有条件、运营现状，了解恒佳果业如何从沙果种植入手，增加就业岗位并实现增产增收。</w:t>
            </w:r>
          </w:p>
          <w:p w14:paraId="7153B30C">
            <w:pPr>
              <w:widowControl/>
              <w:spacing w:line="360" w:lineRule="auto"/>
              <w:jc w:val="left"/>
              <w:rPr>
                <w:rFonts w:hint="eastAsia" w:ascii="仿宋_GB2312" w:hAnsi="仿宋" w:eastAsia="仿宋_GB2312"/>
                <w:sz w:val="24"/>
                <w:szCs w:val="32"/>
              </w:rPr>
            </w:pPr>
            <w:r>
              <w:rPr>
                <w:rFonts w:hint="eastAsia" w:ascii="仿宋_GB2312" w:hAnsi="仿宋" w:eastAsia="仿宋_GB2312"/>
                <w:sz w:val="24"/>
                <w:szCs w:val="32"/>
              </w:rPr>
              <w:t>2.问题探究与学习：针对沙果产业链条较短、深加工和品牌溢价不足、果农销售渠道不稳、脱贫人口持续就业需产业支撑等共性问题，通过深度访谈龙头企业管理者、基层干部和果农，总结企业破解难题的经验做法。</w:t>
            </w:r>
          </w:p>
          <w:p w14:paraId="26EDFD31">
            <w:pPr>
              <w:widowControl/>
              <w:spacing w:line="360" w:lineRule="auto"/>
              <w:jc w:val="left"/>
              <w:rPr>
                <w:rFonts w:hint="eastAsia" w:ascii="仿宋_GB2312" w:hAnsi="仿宋" w:eastAsia="仿宋_GB2312"/>
                <w:sz w:val="24"/>
                <w:szCs w:val="32"/>
              </w:rPr>
            </w:pPr>
            <w:r>
              <w:rPr>
                <w:rFonts w:hint="eastAsia" w:ascii="仿宋_GB2312" w:hAnsi="仿宋" w:eastAsia="仿宋_GB2312"/>
                <w:sz w:val="24"/>
                <w:szCs w:val="32"/>
              </w:rPr>
              <w:t>3.技术推广与经验总结：形成《因地制宜发展沙果种植全产业链助力乡村振兴总结报告》，为其他地区发展特色产业提供可借鉴经验。</w:t>
            </w:r>
          </w:p>
          <w:p w14:paraId="77CC870D">
            <w:pPr>
              <w:widowControl/>
              <w:spacing w:line="360" w:lineRule="auto"/>
              <w:jc w:val="left"/>
              <w:rPr>
                <w:rFonts w:ascii="仿宋_GB2312" w:hAnsi="仿宋" w:eastAsia="仿宋_GB2312"/>
                <w:sz w:val="24"/>
                <w:szCs w:val="32"/>
              </w:rPr>
            </w:pPr>
            <w:r>
              <w:rPr>
                <w:rFonts w:hint="eastAsia" w:ascii="仿宋_GB2312" w:hAnsi="仿宋" w:eastAsia="仿宋_GB2312"/>
                <w:sz w:val="24"/>
                <w:szCs w:val="32"/>
              </w:rPr>
              <w:t>4.宣传推广：以推送、短视频等形式宣传科右前旗沙果产业与沙果文化，提升当地沙果品牌知名度，促进沙果文化旅游，让当地民众切实获益。</w:t>
            </w:r>
          </w:p>
        </w:tc>
      </w:tr>
      <w:tr w14:paraId="26C0B5A5">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61233C7A">
            <w:pPr>
              <w:spacing w:line="520" w:lineRule="exact"/>
              <w:jc w:val="center"/>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预期成果</w:t>
            </w:r>
          </w:p>
        </w:tc>
        <w:tc>
          <w:tcPr>
            <w:tcW w:w="8266" w:type="dxa"/>
            <w:gridSpan w:val="5"/>
          </w:tcPr>
          <w:p w14:paraId="26D44315">
            <w:pPr>
              <w:widowControl/>
              <w:spacing w:line="360" w:lineRule="auto"/>
              <w:jc w:val="left"/>
              <w:rPr>
                <w:rFonts w:hint="default" w:ascii="仿宋_GB2312" w:hAnsi="仿宋" w:eastAsia="仿宋_GB2312"/>
                <w:sz w:val="24"/>
                <w:szCs w:val="32"/>
                <w:lang w:val="en-US"/>
              </w:rPr>
            </w:pPr>
            <w:r>
              <w:rPr>
                <w:rFonts w:hint="default" w:ascii="仿宋_GB2312" w:hAnsi="仿宋" w:eastAsia="仿宋_GB2312"/>
                <w:sz w:val="24"/>
                <w:szCs w:val="32"/>
                <w:lang w:val="en-US"/>
              </w:rPr>
              <w:t>1.产业振兴路径成果：探索“土特产”价值转化路径，形成可推广的沙果产业带动乡村振兴案例经验。</w:t>
            </w:r>
          </w:p>
          <w:p w14:paraId="7C177A45">
            <w:pPr>
              <w:widowControl/>
              <w:spacing w:line="360" w:lineRule="auto"/>
              <w:jc w:val="left"/>
              <w:rPr>
                <w:rFonts w:hint="default" w:ascii="仿宋_GB2312" w:hAnsi="仿宋" w:eastAsia="仿宋_GB2312"/>
                <w:sz w:val="24"/>
                <w:szCs w:val="32"/>
                <w:lang w:val="en-US"/>
              </w:rPr>
            </w:pPr>
            <w:r>
              <w:rPr>
                <w:rFonts w:hint="default" w:ascii="仿宋_GB2312" w:hAnsi="仿宋" w:eastAsia="仿宋_GB2312"/>
                <w:sz w:val="24"/>
                <w:szCs w:val="32"/>
                <w:lang w:val="en-US"/>
              </w:rPr>
              <w:t>2.就业扶贫机制成果：深入分析恒佳果业在生产加工、冷链仓储、物流销售等环节创造的就业岗位及其吸纳脱贫人口就业的具体做法与成效。</w:t>
            </w:r>
          </w:p>
          <w:p w14:paraId="11707953">
            <w:pPr>
              <w:widowControl/>
              <w:spacing w:line="360" w:lineRule="auto"/>
              <w:jc w:val="left"/>
              <w:rPr>
                <w:rFonts w:hint="default" w:ascii="仿宋_GB2312" w:hAnsi="仿宋" w:eastAsia="仿宋_GB2312"/>
                <w:sz w:val="24"/>
                <w:szCs w:val="32"/>
                <w:lang w:val="en-US"/>
              </w:rPr>
            </w:pPr>
            <w:r>
              <w:rPr>
                <w:rFonts w:hint="default" w:ascii="仿宋_GB2312" w:hAnsi="仿宋" w:eastAsia="仿宋_GB2312"/>
                <w:sz w:val="24"/>
                <w:szCs w:val="32"/>
                <w:lang w:val="en-US"/>
              </w:rPr>
              <w:t>3.宣传推广成果：制作不少于3篇推送或短视频作品，宣传当地沙果产业与品牌，助力提升知名度。</w:t>
            </w:r>
          </w:p>
          <w:p w14:paraId="61F28F09">
            <w:pPr>
              <w:widowControl/>
              <w:spacing w:line="360" w:lineRule="auto"/>
              <w:jc w:val="left"/>
              <w:rPr>
                <w:rFonts w:hint="default" w:ascii="仿宋_GB2312" w:hAnsi="仿宋" w:eastAsia="仿宋_GB2312"/>
                <w:sz w:val="24"/>
                <w:szCs w:val="32"/>
                <w:lang w:val="en-US"/>
              </w:rPr>
            </w:pPr>
            <w:r>
              <w:rPr>
                <w:rFonts w:hint="default" w:ascii="仿宋_GB2312" w:hAnsi="仿宋" w:eastAsia="仿宋_GB2312"/>
                <w:sz w:val="24"/>
                <w:szCs w:val="32"/>
                <w:lang w:val="en-US"/>
              </w:rPr>
              <w:t>4.青年成长成果：引导大学生在田野调查中厚植家国情怀，深化对国情、农情的理解，在社会实践中受教育、长才干、作贡献。</w:t>
            </w:r>
          </w:p>
        </w:tc>
      </w:tr>
      <w:tr w14:paraId="1781D72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04D103B7">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可提供支持条件及指导措施</w:t>
            </w:r>
          </w:p>
        </w:tc>
        <w:tc>
          <w:tcPr>
            <w:tcW w:w="8266" w:type="dxa"/>
            <w:gridSpan w:val="5"/>
          </w:tcPr>
          <w:p w14:paraId="5F2C06C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1.科右前旗恒佳果业有限公司提供调研场地、企业对接及必要的背景资料支持。</w:t>
            </w:r>
          </w:p>
          <w:p w14:paraId="1A075F1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2.</w:t>
            </w:r>
            <w:bookmarkStart w:id="0" w:name="_GoBack"/>
            <w:bookmarkEnd w:id="0"/>
            <w:r>
              <w:rPr>
                <w:rFonts w:hint="eastAsia" w:ascii="仿宋_GB2312" w:hAnsi="仿宋" w:eastAsia="仿宋_GB2312"/>
                <w:sz w:val="24"/>
                <w:szCs w:val="32"/>
              </w:rPr>
              <w:t>指导教师（孙永江副教授等）提供调研方案设计、访谈提纲拟定及报告撰写的全程指导。</w:t>
            </w:r>
          </w:p>
          <w:p w14:paraId="611916F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3.实践期间统一协调交通与住宿，保障团队集中行动。</w:t>
            </w:r>
          </w:p>
          <w:p w14:paraId="3939C6C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_GB2312" w:hAnsi="仿宋" w:eastAsia="仿宋_GB2312"/>
                <w:sz w:val="24"/>
                <w:szCs w:val="32"/>
              </w:rPr>
            </w:pPr>
            <w:r>
              <w:rPr>
                <w:rFonts w:hint="eastAsia" w:ascii="仿宋_GB2312" w:hAnsi="仿宋" w:eastAsia="仿宋_GB2312"/>
                <w:sz w:val="24"/>
                <w:szCs w:val="32"/>
              </w:rPr>
              <w:t>4.协助联系当地果农、村干部等访谈对象，确保调研顺利开展。</w:t>
            </w:r>
          </w:p>
        </w:tc>
      </w:tr>
      <w:tr w14:paraId="03271D5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1410E10A">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安全风险及</w:t>
            </w:r>
            <w:r>
              <w:rPr>
                <w:rFonts w:hint="eastAsia" w:ascii="仿宋_GB2312" w:hAnsi="仿宋" w:eastAsia="仿宋_GB2312"/>
                <w:sz w:val="24"/>
                <w:szCs w:val="32"/>
                <w:lang w:val="en-US" w:eastAsia="zh-CN"/>
              </w:rPr>
              <w:br w:type="textWrapping"/>
            </w:r>
            <w:r>
              <w:rPr>
                <w:rFonts w:hint="eastAsia" w:ascii="仿宋_GB2312" w:hAnsi="仿宋" w:eastAsia="仿宋_GB2312"/>
                <w:sz w:val="24"/>
                <w:szCs w:val="32"/>
                <w:lang w:val="en-US" w:eastAsia="zh-CN"/>
              </w:rPr>
              <w:t>注意事项</w:t>
            </w:r>
          </w:p>
        </w:tc>
        <w:tc>
          <w:tcPr>
            <w:tcW w:w="8266" w:type="dxa"/>
            <w:gridSpan w:val="5"/>
          </w:tcPr>
          <w:p w14:paraId="2A64588B">
            <w:pPr>
              <w:widowControl/>
              <w:numPr>
                <w:ilvl w:val="0"/>
                <w:numId w:val="0"/>
              </w:numPr>
              <w:spacing w:line="360" w:lineRule="auto"/>
              <w:jc w:val="left"/>
              <w:rPr>
                <w:rFonts w:hint="eastAsia" w:ascii="仿宋_GB2312" w:hAnsi="仿宋" w:eastAsia="仿宋_GB2312"/>
                <w:sz w:val="24"/>
                <w:szCs w:val="32"/>
              </w:rPr>
            </w:pPr>
            <w:r>
              <w:rPr>
                <w:rFonts w:hint="eastAsia" w:ascii="仿宋_GB2312" w:hAnsi="仿宋" w:eastAsia="仿宋_GB2312"/>
                <w:sz w:val="24"/>
                <w:szCs w:val="32"/>
              </w:rPr>
              <w:t>1.交通安全：租用正规营运车辆，全员系好安全带，恶劣天气不前往偏远果园，严禁夜间在乡村道路行车。</w:t>
            </w:r>
          </w:p>
          <w:p w14:paraId="7ADA2125">
            <w:pPr>
              <w:widowControl/>
              <w:numPr>
                <w:ilvl w:val="0"/>
                <w:numId w:val="0"/>
              </w:numPr>
              <w:spacing w:line="360" w:lineRule="auto"/>
              <w:jc w:val="left"/>
              <w:rPr>
                <w:rFonts w:hint="eastAsia" w:ascii="仿宋_GB2312" w:hAnsi="仿宋" w:eastAsia="仿宋_GB2312"/>
                <w:sz w:val="24"/>
                <w:szCs w:val="32"/>
              </w:rPr>
            </w:pPr>
            <w:r>
              <w:rPr>
                <w:rFonts w:hint="eastAsia" w:ascii="仿宋_GB2312" w:hAnsi="仿宋" w:eastAsia="仿宋_GB2312"/>
                <w:sz w:val="24"/>
                <w:szCs w:val="32"/>
              </w:rPr>
              <w:t>2.饮食卫生：饮用瓶装水，不吃生冷野菜，备好肠胃药品；户外做好防蚊虫叮咬措施。</w:t>
            </w:r>
          </w:p>
          <w:p w14:paraId="51107A3B">
            <w:pPr>
              <w:widowControl/>
              <w:numPr>
                <w:ilvl w:val="0"/>
                <w:numId w:val="0"/>
              </w:numPr>
              <w:spacing w:line="360" w:lineRule="auto"/>
              <w:jc w:val="left"/>
              <w:rPr>
                <w:rFonts w:hint="eastAsia" w:ascii="仿宋_GB2312" w:hAnsi="仿宋" w:eastAsia="仿宋_GB2312"/>
                <w:sz w:val="24"/>
                <w:szCs w:val="32"/>
              </w:rPr>
            </w:pPr>
            <w:r>
              <w:rPr>
                <w:rFonts w:hint="eastAsia" w:ascii="仿宋_GB2312" w:hAnsi="仿宋" w:eastAsia="仿宋_GB2312"/>
                <w:sz w:val="24"/>
                <w:szCs w:val="32"/>
              </w:rPr>
              <w:t>3.天气防范：注意防晒防暑；遇雷雨大风立即停止户外活动，远离树木与高地。</w:t>
            </w:r>
          </w:p>
          <w:p w14:paraId="5AF48FEF">
            <w:pPr>
              <w:widowControl/>
              <w:numPr>
                <w:ilvl w:val="0"/>
                <w:numId w:val="0"/>
              </w:numPr>
              <w:spacing w:line="360" w:lineRule="auto"/>
              <w:jc w:val="left"/>
              <w:rPr>
                <w:rFonts w:hint="eastAsia" w:ascii="仿宋_GB2312" w:hAnsi="仿宋" w:eastAsia="仿宋_GB2312"/>
                <w:sz w:val="24"/>
                <w:szCs w:val="32"/>
              </w:rPr>
            </w:pPr>
            <w:r>
              <w:rPr>
                <w:rFonts w:hint="eastAsia" w:ascii="仿宋_GB2312" w:hAnsi="仿宋" w:eastAsia="仿宋_GB2312"/>
                <w:sz w:val="24"/>
                <w:szCs w:val="32"/>
              </w:rPr>
              <w:t>4.生产安全：进入恒佳果业车间须听从企业安排，不触碰运转设备，不擅自操作加工器械。</w:t>
            </w:r>
          </w:p>
          <w:p w14:paraId="3300D8E0">
            <w:pPr>
              <w:widowControl/>
              <w:numPr>
                <w:ilvl w:val="0"/>
                <w:numId w:val="0"/>
              </w:numPr>
              <w:spacing w:line="360" w:lineRule="auto"/>
              <w:jc w:val="left"/>
              <w:rPr>
                <w:rFonts w:hint="eastAsia" w:ascii="仿宋_GB2312" w:hAnsi="仿宋" w:eastAsia="仿宋_GB2312"/>
                <w:sz w:val="24"/>
                <w:szCs w:val="32"/>
              </w:rPr>
            </w:pPr>
            <w:r>
              <w:rPr>
                <w:rFonts w:hint="eastAsia" w:ascii="仿宋_GB2312" w:hAnsi="仿宋" w:eastAsia="仿宋_GB2312"/>
                <w:sz w:val="24"/>
                <w:szCs w:val="32"/>
              </w:rPr>
              <w:t>5.纪律要求：调研期间严禁饮酒，外出须2-3人结伴同行，严禁擅自脱离团队、进入未开发区域。</w:t>
            </w:r>
          </w:p>
          <w:p w14:paraId="4FE56905">
            <w:pPr>
              <w:widowControl/>
              <w:numPr>
                <w:ilvl w:val="0"/>
                <w:numId w:val="0"/>
              </w:numPr>
              <w:spacing w:line="360" w:lineRule="auto"/>
              <w:jc w:val="left"/>
              <w:rPr>
                <w:rFonts w:hint="eastAsia" w:ascii="仿宋_GB2312" w:hAnsi="仿宋" w:eastAsia="仿宋_GB2312"/>
                <w:sz w:val="24"/>
                <w:szCs w:val="32"/>
              </w:rPr>
            </w:pPr>
            <w:r>
              <w:rPr>
                <w:rFonts w:hint="eastAsia" w:ascii="仿宋_GB2312" w:hAnsi="仿宋" w:eastAsia="仿宋_GB2312"/>
                <w:sz w:val="24"/>
                <w:szCs w:val="32"/>
              </w:rPr>
              <w:t>6.应急联络：遇突发情况第一时间联系带队教师，紧急时拨打110、120。</w:t>
            </w:r>
          </w:p>
        </w:tc>
      </w:tr>
      <w:tr w14:paraId="79507043">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12" w:hRule="atLeast"/>
        </w:trPr>
        <w:tc>
          <w:tcPr>
            <w:tcW w:w="1834" w:type="dxa"/>
            <w:vAlign w:val="center"/>
          </w:tcPr>
          <w:p w14:paraId="42652B63">
            <w:pPr>
              <w:spacing w:line="520" w:lineRule="exact"/>
              <w:jc w:val="center"/>
              <w:rPr>
                <w:rFonts w:hint="default" w:ascii="仿宋_GB2312" w:hAnsi="仿宋" w:eastAsia="仿宋_GB2312"/>
                <w:sz w:val="24"/>
                <w:szCs w:val="32"/>
                <w:lang w:val="en-US" w:eastAsia="zh-CN"/>
              </w:rPr>
            </w:pPr>
            <w:r>
              <w:rPr>
                <w:rFonts w:hint="eastAsia" w:ascii="仿宋_GB2312" w:hAnsi="仿宋" w:eastAsia="仿宋_GB2312"/>
                <w:sz w:val="24"/>
                <w:szCs w:val="32"/>
                <w:lang w:val="en-US" w:eastAsia="zh-CN"/>
              </w:rPr>
              <w:t>单位审核意见</w:t>
            </w:r>
          </w:p>
        </w:tc>
        <w:tc>
          <w:tcPr>
            <w:tcW w:w="8266" w:type="dxa"/>
            <w:gridSpan w:val="5"/>
          </w:tcPr>
          <w:p w14:paraId="7D57BA90">
            <w:pPr>
              <w:spacing w:line="520" w:lineRule="exact"/>
              <w:jc w:val="right"/>
              <w:rPr>
                <w:rFonts w:hint="default" w:ascii="仿宋_GB2312" w:hAnsi="仿宋" w:eastAsia="仿宋_GB2312"/>
                <w:sz w:val="24"/>
                <w:szCs w:val="32"/>
                <w:lang w:val="en-US" w:eastAsia="zh-CN"/>
              </w:rPr>
            </w:pPr>
          </w:p>
          <w:p w14:paraId="4E9CAC26">
            <w:pPr>
              <w:spacing w:line="520" w:lineRule="exact"/>
              <w:jc w:val="right"/>
              <w:rPr>
                <w:rFonts w:hint="default" w:ascii="仿宋_GB2312" w:hAnsi="仿宋" w:eastAsia="仿宋_GB2312"/>
                <w:sz w:val="24"/>
                <w:szCs w:val="32"/>
                <w:lang w:val="en-US" w:eastAsia="zh-CN"/>
              </w:rPr>
            </w:pPr>
          </w:p>
          <w:p w14:paraId="788A31D0">
            <w:pPr>
              <w:spacing w:line="520" w:lineRule="exact"/>
              <w:jc w:val="right"/>
              <w:rPr>
                <w:rFonts w:hint="default" w:ascii="仿宋_GB2312" w:hAnsi="仿宋" w:eastAsia="仿宋_GB2312"/>
                <w:sz w:val="24"/>
                <w:szCs w:val="32"/>
                <w:lang w:val="en-US" w:eastAsia="zh-CN"/>
              </w:rPr>
            </w:pPr>
            <w:r>
              <w:rPr>
                <w:rFonts w:hint="default" w:ascii="仿宋_GB2312" w:hAnsi="仿宋" w:eastAsia="仿宋_GB2312"/>
                <w:sz w:val="24"/>
                <w:szCs w:val="32"/>
                <w:lang w:val="en-US" w:eastAsia="zh-CN"/>
              </w:rPr>
              <w:t>负责人签字：__________________</w:t>
            </w:r>
          </w:p>
          <w:p w14:paraId="4721E719">
            <w:pPr>
              <w:spacing w:line="520" w:lineRule="exact"/>
              <w:jc w:val="right"/>
              <w:rPr>
                <w:rFonts w:hint="default" w:ascii="仿宋_GB2312" w:hAnsi="仿宋" w:eastAsia="仿宋_GB2312"/>
                <w:sz w:val="24"/>
                <w:szCs w:val="32"/>
                <w:lang w:val="en-US" w:eastAsia="zh-CN"/>
              </w:rPr>
            </w:pPr>
            <w:r>
              <w:rPr>
                <w:rFonts w:hint="default" w:ascii="仿宋_GB2312" w:hAnsi="仿宋" w:eastAsia="仿宋_GB2312"/>
                <w:sz w:val="24"/>
                <w:szCs w:val="32"/>
                <w:lang w:val="en-US" w:eastAsia="zh-CN"/>
              </w:rPr>
              <w:t>单位盖章：__________________</w:t>
            </w:r>
          </w:p>
          <w:p w14:paraId="3E3E5BB1">
            <w:pPr>
              <w:spacing w:line="520" w:lineRule="exact"/>
              <w:jc w:val="right"/>
              <w:rPr>
                <w:rFonts w:hint="default" w:ascii="仿宋_GB2312" w:hAnsi="仿宋" w:eastAsia="仿宋_GB2312"/>
                <w:sz w:val="24"/>
                <w:szCs w:val="32"/>
                <w:lang w:val="en-US" w:eastAsia="zh-CN"/>
              </w:rPr>
            </w:pPr>
            <w:r>
              <w:rPr>
                <w:rFonts w:hint="default" w:ascii="仿宋_GB2312" w:hAnsi="仿宋" w:eastAsia="仿宋_GB2312"/>
                <w:sz w:val="24"/>
                <w:szCs w:val="32"/>
                <w:lang w:val="en-US" w:eastAsia="zh-CN"/>
              </w:rPr>
              <w:t>_______年_______月_______日</w:t>
            </w:r>
          </w:p>
        </w:tc>
      </w:tr>
    </w:tbl>
    <w:p w14:paraId="1DEFA7D0">
      <w:pPr>
        <w:spacing w:line="520" w:lineRule="exact"/>
        <w:rPr>
          <w:rFonts w:hint="eastAsia" w:ascii="仿宋_GB2312" w:hAnsi="仿宋" w:eastAsia="仿宋_GB2312"/>
          <w:sz w:val="24"/>
          <w:szCs w:val="24"/>
        </w:rPr>
      </w:pP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4702205"/>
    <w:rsid w:val="1CA630DE"/>
    <w:rsid w:val="74FE312B"/>
    <w:rsid w:val="768F71E7"/>
    <w:rsid w:val="7F810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批注框文本 字符"/>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2</Pages>
  <Words>1242</Words>
  <Characters>1349</Characters>
  <Lines>5</Lines>
  <Paragraphs>1</Paragraphs>
  <TotalTime>4</TotalTime>
  <ScaleCrop>false</ScaleCrop>
  <LinksUpToDate>false</LinksUpToDate>
  <CharactersWithSpaces>1349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2024-05-24T15:04:00Z</dcterms:created>
  <dc:creator>Microsoft</dc:creator>
  <cp:lastModifiedBy>李世鑫</cp:lastModifiedBy>
  <cp:lastPrinted>2026-04-24T07:35:00Z</cp:lastPrinted>
  <dcterms:modified xsi:type="dcterms:W3CDTF">2026-05-12T01:38:53Z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B737E7D1FEEE46F5873F3504ADA7F7D2_13</vt:lpwstr>
  </property>
  <property fmtid="{D5CDD505-2E9C-101B-9397-08002B2CF9AE}" pid="4" name="KSOTemplateDocerSaveRecord">
    <vt:lpwstr>eyJoZGlkIjoiYzA4N2Y4YzI4NGZkM2RiY2NlMTUwNmQ1ZWIxNTY5MTMiLCJ1c2VySWQiOiIzODk5OTgyNjkifQ==</vt:lpwstr>
  </property>
</Properties>
</file>