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2F03A0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ascii="仿宋_GB2312" w:hAnsi="仿宋" w:eastAsia="仿宋_GB2312"/>
          <w:b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b/>
          <w:sz w:val="32"/>
          <w:szCs w:val="32"/>
          <w:highlight w:val="none"/>
        </w:rPr>
        <w:t>2026年暑期社会实践“揭榜挂帅”榜</w:t>
      </w:r>
      <w:r>
        <w:rPr>
          <w:rFonts w:hint="eastAsia" w:ascii="仿宋_GB2312" w:hAnsi="仿宋" w:eastAsia="仿宋_GB2312"/>
          <w:b/>
          <w:sz w:val="32"/>
          <w:szCs w:val="32"/>
          <w:highlight w:val="none"/>
          <w:lang w:val="en-US" w:eastAsia="zh-CN"/>
        </w:rPr>
        <w:t>单</w:t>
      </w:r>
      <w:r>
        <w:rPr>
          <w:rFonts w:hint="eastAsia" w:ascii="仿宋_GB2312" w:hAnsi="仿宋" w:eastAsia="仿宋_GB2312"/>
          <w:b/>
          <w:sz w:val="32"/>
          <w:szCs w:val="32"/>
          <w:highlight w:val="none"/>
        </w:rPr>
        <w:t>征集表</w:t>
      </w:r>
    </w:p>
    <w:tbl>
      <w:tblPr>
        <w:tblStyle w:val="2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275"/>
        <w:gridCol w:w="1397"/>
        <w:gridCol w:w="1981"/>
        <w:gridCol w:w="2220"/>
      </w:tblGrid>
      <w:tr w14:paraId="04D676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834" w:type="dxa"/>
            <w:vAlign w:val="center"/>
          </w:tcPr>
          <w:p w14:paraId="43A78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  <w:highlight w:val="red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榜单名称</w:t>
            </w:r>
          </w:p>
        </w:tc>
        <w:tc>
          <w:tcPr>
            <w:tcW w:w="8266" w:type="dxa"/>
            <w:gridSpan w:val="5"/>
            <w:vAlign w:val="center"/>
          </w:tcPr>
          <w:p w14:paraId="0384C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铸牢中华民族共同体意识·三色研学</w:t>
            </w:r>
          </w:p>
        </w:tc>
      </w:tr>
      <w:tr w14:paraId="701CB5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242BDA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出题单位</w:t>
            </w:r>
          </w:p>
        </w:tc>
        <w:tc>
          <w:tcPr>
            <w:tcW w:w="8266" w:type="dxa"/>
            <w:gridSpan w:val="5"/>
            <w:vAlign w:val="center"/>
          </w:tcPr>
          <w:p w14:paraId="4F7F5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国内合作与校友工作处</w:t>
            </w:r>
          </w:p>
        </w:tc>
      </w:tr>
      <w:tr w14:paraId="1DDBAB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05FAF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是否联合校外单位出题</w:t>
            </w:r>
          </w:p>
        </w:tc>
        <w:tc>
          <w:tcPr>
            <w:tcW w:w="4065" w:type="dxa"/>
            <w:gridSpan w:val="3"/>
            <w:vAlign w:val="center"/>
          </w:tcPr>
          <w:p w14:paraId="155C30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both"/>
              <w:textAlignment w:val="auto"/>
              <w:rPr>
                <w:rFonts w:hint="eastAsia" w:ascii="仿宋_GB2312" w:hAnsi="仿宋" w:eastAsia="宋体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☑是□否</w:t>
            </w:r>
          </w:p>
        </w:tc>
        <w:tc>
          <w:tcPr>
            <w:tcW w:w="4201" w:type="dxa"/>
            <w:gridSpan w:val="2"/>
            <w:vAlign w:val="center"/>
          </w:tcPr>
          <w:p w14:paraId="62DD9E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兴安盟委</w:t>
            </w:r>
            <w:bookmarkStart w:id="0" w:name="_GoBack"/>
            <w:bookmarkEnd w:id="0"/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宣传部、统战部</w:t>
            </w:r>
          </w:p>
        </w:tc>
      </w:tr>
      <w:tr w14:paraId="6779EE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00C534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建议参与专业</w:t>
            </w:r>
          </w:p>
        </w:tc>
        <w:tc>
          <w:tcPr>
            <w:tcW w:w="4065" w:type="dxa"/>
            <w:gridSpan w:val="3"/>
            <w:vAlign w:val="center"/>
          </w:tcPr>
          <w:p w14:paraId="5FC59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艺术设计类</w:t>
            </w:r>
          </w:p>
        </w:tc>
        <w:tc>
          <w:tcPr>
            <w:tcW w:w="1981" w:type="dxa"/>
            <w:vAlign w:val="center"/>
          </w:tcPr>
          <w:p w14:paraId="56873E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实践日期</w:t>
            </w:r>
          </w:p>
        </w:tc>
        <w:tc>
          <w:tcPr>
            <w:tcW w:w="2220" w:type="dxa"/>
            <w:vAlign w:val="center"/>
          </w:tcPr>
          <w:p w14:paraId="4C5591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2026.7.18-7.24</w:t>
            </w:r>
          </w:p>
        </w:tc>
      </w:tr>
      <w:tr w14:paraId="090228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01991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实践地点</w:t>
            </w:r>
          </w:p>
        </w:tc>
        <w:tc>
          <w:tcPr>
            <w:tcW w:w="4065" w:type="dxa"/>
            <w:gridSpan w:val="3"/>
            <w:vAlign w:val="center"/>
          </w:tcPr>
          <w:p w14:paraId="630D907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兴安盟</w:t>
            </w:r>
          </w:p>
        </w:tc>
        <w:tc>
          <w:tcPr>
            <w:tcW w:w="1981" w:type="dxa"/>
            <w:vAlign w:val="center"/>
          </w:tcPr>
          <w:p w14:paraId="30357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团队人数</w:t>
            </w:r>
          </w:p>
        </w:tc>
        <w:tc>
          <w:tcPr>
            <w:tcW w:w="2220" w:type="dxa"/>
            <w:vAlign w:val="center"/>
          </w:tcPr>
          <w:p w14:paraId="6940D0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8-15人</w:t>
            </w:r>
          </w:p>
        </w:tc>
      </w:tr>
      <w:tr w14:paraId="1E1EC3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26965A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涉及保密事项</w:t>
            </w:r>
          </w:p>
        </w:tc>
        <w:tc>
          <w:tcPr>
            <w:tcW w:w="4065" w:type="dxa"/>
            <w:gridSpan w:val="3"/>
            <w:vAlign w:val="center"/>
          </w:tcPr>
          <w:p w14:paraId="56634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□是（请简要说明）☑否</w:t>
            </w:r>
          </w:p>
        </w:tc>
        <w:tc>
          <w:tcPr>
            <w:tcW w:w="1981" w:type="dxa"/>
            <w:vAlign w:val="center"/>
          </w:tcPr>
          <w:p w14:paraId="23F6B3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  <w:lang w:val="en-US" w:eastAsia="zh-CN"/>
              </w:rPr>
              <w:t>匹配</w:t>
            </w: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4958A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</w:t>
            </w:r>
          </w:p>
        </w:tc>
      </w:tr>
      <w:tr w14:paraId="4FBDE5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05AEDE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联系人</w:t>
            </w:r>
          </w:p>
        </w:tc>
        <w:tc>
          <w:tcPr>
            <w:tcW w:w="1393" w:type="dxa"/>
            <w:vAlign w:val="center"/>
          </w:tcPr>
          <w:p w14:paraId="16181A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姓名</w:t>
            </w:r>
          </w:p>
        </w:tc>
        <w:tc>
          <w:tcPr>
            <w:tcW w:w="1275" w:type="dxa"/>
            <w:vAlign w:val="center"/>
          </w:tcPr>
          <w:p w14:paraId="5EECB2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李上峰</w:t>
            </w:r>
          </w:p>
        </w:tc>
        <w:tc>
          <w:tcPr>
            <w:tcW w:w="1397" w:type="dxa"/>
            <w:vAlign w:val="center"/>
          </w:tcPr>
          <w:p w14:paraId="54DC9C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201" w:type="dxa"/>
            <w:gridSpan w:val="2"/>
            <w:vAlign w:val="center"/>
          </w:tcPr>
          <w:p w14:paraId="2E93B0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18810853313</w:t>
            </w:r>
          </w:p>
        </w:tc>
      </w:tr>
      <w:tr w14:paraId="6D994E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450A17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62D951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275" w:type="dxa"/>
            <w:vAlign w:val="center"/>
          </w:tcPr>
          <w:p w14:paraId="073F29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——</w:t>
            </w:r>
          </w:p>
        </w:tc>
        <w:tc>
          <w:tcPr>
            <w:tcW w:w="1397" w:type="dxa"/>
            <w:vAlign w:val="center"/>
          </w:tcPr>
          <w:p w14:paraId="4B7CE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201" w:type="dxa"/>
            <w:gridSpan w:val="2"/>
            <w:vAlign w:val="center"/>
          </w:tcPr>
          <w:p w14:paraId="5917DD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——</w:t>
            </w:r>
          </w:p>
        </w:tc>
      </w:tr>
      <w:tr w14:paraId="7CEA13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34" w:type="dxa"/>
            <w:vAlign w:val="center"/>
          </w:tcPr>
          <w:p w14:paraId="7872CE36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题目介绍</w:t>
            </w:r>
          </w:p>
          <w:p w14:paraId="43D84F37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18"/>
                <w:szCs w:val="21"/>
              </w:rPr>
              <w:t>背景与现实需求</w:t>
            </w: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）</w:t>
            </w:r>
          </w:p>
        </w:tc>
        <w:tc>
          <w:tcPr>
            <w:tcW w:w="8266" w:type="dxa"/>
            <w:gridSpan w:val="5"/>
          </w:tcPr>
          <w:p w14:paraId="1C81D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以“铸牢中华民族共同体意识”为核心，紧扣“思政铸魂”根本要求，聚焦红色研学（革命传承）、绿色研学（生态保护）、金色研学（劳动教育）“三色”体系，开展北京至兴安盟研学实践。当前研学内容同质化严重，缺乏视觉叙事与沉浸式体验，难以吸引青年群体。通过视觉设计、数字媒体、空间体验等创新手段，将抽象的民族共同体理念转化为可感知、可传播、可交互的研学产品与视觉符号，破解研学与思政教育脱节、地域特色不突出等问题，助力京蒙两地青少年文化交流，厚植民族团结理念，实现“研有所思、学有所获、行有所成、思政铸魂”的实践目标。</w:t>
            </w:r>
          </w:p>
        </w:tc>
      </w:tr>
      <w:tr w14:paraId="44C888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79346C55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5"/>
          </w:tcPr>
          <w:p w14:paraId="693A0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1.三色研学视觉系统与品牌形象设计</w:t>
            </w:r>
          </w:p>
          <w:p w14:paraId="4F2710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调研兴安盟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革命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遗址（如内蒙古党委办公旧址、五一大会旧址）、绿色生态地标（阿尔山国家森林公园、草原）、金色劳动教育基地（乡村农田、养殖基地），提炼三色研学的核心视觉元素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，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设计研学物料包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。</w:t>
            </w:r>
          </w:p>
          <w:p w14:paraId="087002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2.红色研学·沉浸式视觉叙事创作</w:t>
            </w:r>
          </w:p>
          <w:p w14:paraId="792B95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探访革命遗址，运用数字插画、信息可视化手法，创作红色地标视觉地图。</w:t>
            </w:r>
          </w:p>
          <w:p w14:paraId="46FA0B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以图文结合方式讲述民族团结抗战故事，强化思政引领。</w:t>
            </w:r>
          </w:p>
          <w:p w14:paraId="04E2E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3.绿色研学·生态体验与信息设计</w:t>
            </w:r>
          </w:p>
          <w:p w14:paraId="2A4624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深入阿尔山、草原等生态景区，拍摄风光素材，记录动植物多样性及生态保护举措。制作生态保护主题的科普插画/信息图（如草原修复、湿地功能、生物多样性）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，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可结合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实地设计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研学步道导视系统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等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。</w:t>
            </w:r>
          </w:p>
          <w:p w14:paraId="64C99B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4.金色研学·劳动场景与农耕文创设计</w:t>
            </w:r>
          </w:p>
          <w:p w14:paraId="7B0209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走进乡村田间、养殖基地，记录各民族共同劳作的场景，拍摄影像、绘制速写。设计劳动教育主题文创产品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，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体现劳动价值与民族团结。</w:t>
            </w:r>
          </w:p>
          <w:p w14:paraId="13C509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5.数字媒体与传播素材制作</w:t>
            </w:r>
          </w:p>
          <w:p w14:paraId="00291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拍摄“三色研学”纪实短片（突出民族团结、思政铸魂主线）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；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制作短视频（分别聚焦红色、绿色、金色亮点，适合抖音/B站/视频号传播）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；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设计研学成果海报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，</w:t>
            </w: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用于校园展览与线上宣传。</w:t>
            </w:r>
          </w:p>
        </w:tc>
      </w:tr>
      <w:tr w14:paraId="71E0D7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7E19B596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预期成果</w:t>
            </w:r>
          </w:p>
        </w:tc>
        <w:tc>
          <w:tcPr>
            <w:tcW w:w="8266" w:type="dxa"/>
            <w:gridSpan w:val="5"/>
          </w:tcPr>
          <w:p w14:paraId="3179D8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1.三色研学品牌视觉识别系统</w:t>
            </w:r>
          </w:p>
          <w:p w14:paraId="7D56EC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形成一套可复制、可推广的研学品牌视觉规范，为后续京蒙研学合作提供统一的视觉基础</w:t>
            </w:r>
          </w:p>
          <w:p w14:paraId="393F1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2.研学物料包与文创产品系列</w:t>
            </w:r>
          </w:p>
          <w:p w14:paraId="1DEDCB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成果以设计稿及实物打样效果图呈现，兼具教育功能与传播价值。</w:t>
            </w:r>
          </w:p>
          <w:p w14:paraId="0F554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3.三色研学主题视觉作品</w:t>
            </w:r>
          </w:p>
          <w:p w14:paraId="011172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红色主题强化革命精神的可视化表达；绿色主题传递生态文明理念；金色主题体现劳动价值与民族团结场景。</w:t>
            </w:r>
          </w:p>
          <w:p w14:paraId="6A3C2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4.数字媒体与传播素材</w:t>
            </w:r>
          </w:p>
          <w:p w14:paraId="2B7A0A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成果适用于校园展览、社交媒体传播及文旅宣传，扩大研学思政教育影响力。</w:t>
            </w:r>
          </w:p>
          <w:p w14:paraId="449DA6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5.设计研究报告</w:t>
            </w:r>
          </w:p>
          <w:p w14:paraId="24D348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形成《铸牢中华民族共同体意识·兴安盟三色研学实践方案》及配套研学手册。</w:t>
            </w:r>
          </w:p>
          <w:p w14:paraId="589B3D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</w:tc>
      </w:tr>
      <w:tr w14:paraId="50777E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36005F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可提供支持条件及指导措施</w:t>
            </w:r>
          </w:p>
        </w:tc>
        <w:tc>
          <w:tcPr>
            <w:tcW w:w="8266" w:type="dxa"/>
            <w:gridSpan w:val="5"/>
          </w:tcPr>
          <w:p w14:paraId="62BE3D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714210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（如实践场地、对接资源、资料支持、访谈对象、经费或物资支持、交通住宿协调、专业培训等）</w:t>
            </w:r>
          </w:p>
          <w:p w14:paraId="0AC043C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lef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提供住宿保障、交通支持、实践场地与资源对接、官方基础资料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等</w:t>
            </w:r>
          </w:p>
        </w:tc>
      </w:tr>
      <w:tr w14:paraId="43FD72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4B7B85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注意事项</w:t>
            </w:r>
          </w:p>
        </w:tc>
        <w:tc>
          <w:tcPr>
            <w:tcW w:w="8266" w:type="dxa"/>
            <w:gridSpan w:val="5"/>
          </w:tcPr>
          <w:p w14:paraId="5F16F6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73433C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（如涉及野外作业、山区林区、入户访谈、特殊群体、设备操作等，请明确说明；如无，填“无”）</w:t>
            </w:r>
          </w:p>
          <w:p w14:paraId="224EA5A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无</w:t>
            </w:r>
          </w:p>
        </w:tc>
      </w:tr>
      <w:tr w14:paraId="733500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834" w:type="dxa"/>
            <w:vAlign w:val="center"/>
          </w:tcPr>
          <w:p w14:paraId="698EA90A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单位审核意见</w:t>
            </w:r>
          </w:p>
        </w:tc>
        <w:tc>
          <w:tcPr>
            <w:tcW w:w="8266" w:type="dxa"/>
            <w:gridSpan w:val="5"/>
          </w:tcPr>
          <w:p w14:paraId="7E04A5A5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1278AC7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33AC0BDC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负责人签字：__________________</w:t>
            </w:r>
          </w:p>
          <w:p w14:paraId="20FFF391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单位盖章：__________________</w:t>
            </w:r>
          </w:p>
          <w:p w14:paraId="2A912E32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_______年_______月_______日</w:t>
            </w:r>
          </w:p>
        </w:tc>
      </w:tr>
    </w:tbl>
    <w:p w14:paraId="38A6313C">
      <w:pPr>
        <w:spacing w:line="520" w:lineRule="exact"/>
        <w:rPr>
          <w:rFonts w:hint="eastAsia" w:ascii="仿宋_GB2312" w:hAnsi="仿宋" w:eastAsia="仿宋_GB2312"/>
          <w:sz w:val="24"/>
          <w:szCs w:val="24"/>
        </w:rPr>
      </w:pPr>
    </w:p>
    <w:p w14:paraId="58504C3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AC548E"/>
    <w:rsid w:val="07D71707"/>
    <w:rsid w:val="0DAC548E"/>
    <w:rsid w:val="119B4F8B"/>
    <w:rsid w:val="149B19FB"/>
    <w:rsid w:val="18104A86"/>
    <w:rsid w:val="19FB466E"/>
    <w:rsid w:val="1F443106"/>
    <w:rsid w:val="21BE719F"/>
    <w:rsid w:val="330B0433"/>
    <w:rsid w:val="58F509F1"/>
    <w:rsid w:val="5B0B0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1300</Words>
  <Characters>1408</Characters>
  <Lines>0</Lines>
  <Paragraphs>0</Paragraphs>
  <TotalTime>1051</TotalTime>
  <ScaleCrop>false</ScaleCrop>
  <LinksUpToDate>false</LinksUpToDate>
  <CharactersWithSpaces>1408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2026-04-22T08:45:00Z</dcterms:created>
  <dc:creator>武宏宇</dc:creator>
  <cp:lastModifiedBy>李世鑫</cp:lastModifiedBy>
  <cp:lastPrinted>2026-04-24T07:37:00Z</cp:lastPrinted>
  <dcterms:modified xsi:type="dcterms:W3CDTF">2026-05-12T01:41:32Z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6A5794771B614998A16939AEDED147D4_13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