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2F03A0">
      <w:pPr>
        <w:tabs>
          <w:tab w:val="center" w:pos="4252"/>
        </w:tabs>
        <w:snapToGrid w:val="0"/>
        <w:spacing w:line="520" w:lineRule="exact"/>
        <w:ind w:right="-340" w:rightChars="-162"/>
        <w:jc w:val="center"/>
        <w:rPr>
          <w:rFonts w:hint="eastAsia" w:ascii="仿宋_GB2312" w:hAnsi="仿宋" w:eastAsia="仿宋_GB2312"/>
          <w:b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2026年暑期社会实践“揭榜挂帅”榜单征集表</w:t>
      </w:r>
    </w:p>
    <w:tbl>
      <w:tblPr>
        <w:tblStyle w:val="4"/>
        <w:tblpPr w:leftFromText="180" w:rightFromText="180" w:vertAnchor="text" w:horzAnchor="margin" w:tblpXSpec="center" w:tblpY="317"/>
        <w:tblW w:w="10100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dotted" w:color="auto" w:sz="8" w:space="0"/>
          <w:insideV w:val="dotted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4"/>
        <w:gridCol w:w="1393"/>
        <w:gridCol w:w="1275"/>
        <w:gridCol w:w="1397"/>
        <w:gridCol w:w="1981"/>
        <w:gridCol w:w="2220"/>
      </w:tblGrid>
      <w:tr w14:paraId="04D6761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834" w:type="dxa"/>
            <w:vAlign w:val="center"/>
          </w:tcPr>
          <w:p w14:paraId="43A78050">
            <w:pPr>
              <w:spacing w:before="60" w:after="60" w:line="320" w:lineRule="exact"/>
              <w:jc w:val="center"/>
              <w:rPr>
                <w:rFonts w:hint="eastAsia" w:ascii="仿宋_GB2312" w:hAnsi="仿宋" w:eastAsia="仿宋_GB2312"/>
                <w:sz w:val="24"/>
                <w:szCs w:val="32"/>
                <w:highlight w:val="red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榜单名称</w:t>
            </w:r>
          </w:p>
        </w:tc>
        <w:tc>
          <w:tcPr>
            <w:tcW w:w="8266" w:type="dxa"/>
            <w:gridSpan w:val="5"/>
            <w:vAlign w:val="center"/>
          </w:tcPr>
          <w:p w14:paraId="0384C00D">
            <w:pPr>
              <w:widowControl/>
              <w:jc w:val="center"/>
              <w:rPr>
                <w:rFonts w:hint="eastAsia" w:ascii="仿宋_GB2312" w:hAnsi="仿宋" w:eastAsia="仿宋_GB2312"/>
                <w:sz w:val="24"/>
                <w:szCs w:val="32"/>
                <w:highlight w:val="red"/>
              </w:rPr>
            </w:pPr>
            <w:r>
              <w:rPr>
                <w:rFonts w:ascii="仿宋_GB2312" w:hAnsi="仿宋" w:eastAsia="仿宋_GB2312"/>
                <w:sz w:val="24"/>
                <w:szCs w:val="32"/>
              </w:rPr>
              <w:t>兴安盟科右前旗产业、教育、文旅融合振兴综合实践</w:t>
            </w:r>
          </w:p>
        </w:tc>
      </w:tr>
      <w:tr w14:paraId="701CB5F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1834" w:type="dxa"/>
            <w:vAlign w:val="center"/>
          </w:tcPr>
          <w:p w14:paraId="242BDA59">
            <w:pPr>
              <w:spacing w:before="60" w:after="60" w:line="320" w:lineRule="exact"/>
              <w:jc w:val="center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出题单位</w:t>
            </w:r>
          </w:p>
        </w:tc>
        <w:tc>
          <w:tcPr>
            <w:tcW w:w="8266" w:type="dxa"/>
            <w:gridSpan w:val="5"/>
            <w:vAlign w:val="center"/>
          </w:tcPr>
          <w:p w14:paraId="4F7F59DC">
            <w:pPr>
              <w:spacing w:line="320" w:lineRule="exact"/>
              <w:ind w:firstLine="352" w:firstLineChars="147"/>
              <w:jc w:val="center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国内合作与校友工作处</w:t>
            </w:r>
          </w:p>
        </w:tc>
      </w:tr>
      <w:tr w14:paraId="1DDBAB8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1834" w:type="dxa"/>
            <w:vAlign w:val="center"/>
          </w:tcPr>
          <w:p w14:paraId="05FAF3BB">
            <w:pPr>
              <w:spacing w:before="60" w:after="60" w:line="320" w:lineRule="exact"/>
              <w:jc w:val="center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是否联合校外单位出题</w:t>
            </w:r>
          </w:p>
        </w:tc>
        <w:tc>
          <w:tcPr>
            <w:tcW w:w="4065" w:type="dxa"/>
            <w:gridSpan w:val="3"/>
            <w:vAlign w:val="center"/>
          </w:tcPr>
          <w:p w14:paraId="155C30ED">
            <w:pPr>
              <w:spacing w:line="320" w:lineRule="exact"/>
              <w:ind w:firstLine="352" w:firstLineChars="147"/>
              <w:rPr>
                <w:rFonts w:hint="eastAsia" w:ascii="仿宋_GB2312" w:hAnsi="仿宋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☑是□否</w:t>
            </w:r>
          </w:p>
        </w:tc>
        <w:tc>
          <w:tcPr>
            <w:tcW w:w="4201" w:type="dxa"/>
            <w:gridSpan w:val="2"/>
            <w:vAlign w:val="center"/>
          </w:tcPr>
          <w:p w14:paraId="62DD9E9B">
            <w:pPr>
              <w:spacing w:line="320" w:lineRule="exact"/>
              <w:ind w:firstLine="352" w:firstLineChars="147"/>
              <w:jc w:val="center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兴安盟委</w:t>
            </w:r>
            <w:r>
              <w:rPr>
                <w:rFonts w:hint="eastAsia" w:ascii="仿宋_GB2312" w:hAnsi="仿宋" w:eastAsia="仿宋_GB2312"/>
                <w:sz w:val="24"/>
                <w:szCs w:val="32"/>
              </w:rPr>
              <w:t>宣传部、统战部</w:t>
            </w:r>
          </w:p>
        </w:tc>
      </w:tr>
      <w:tr w14:paraId="6779EE5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1834" w:type="dxa"/>
            <w:vAlign w:val="center"/>
          </w:tcPr>
          <w:p w14:paraId="00C5344A">
            <w:pPr>
              <w:spacing w:before="60" w:after="60" w:line="320" w:lineRule="exact"/>
              <w:jc w:val="center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建议参与专业</w:t>
            </w:r>
          </w:p>
        </w:tc>
        <w:tc>
          <w:tcPr>
            <w:tcW w:w="4065" w:type="dxa"/>
            <w:gridSpan w:val="3"/>
            <w:vAlign w:val="center"/>
          </w:tcPr>
          <w:p w14:paraId="5FC59755">
            <w:pPr>
              <w:spacing w:line="320" w:lineRule="exact"/>
              <w:jc w:val="center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林化类，家具类，材料类</w:t>
            </w:r>
          </w:p>
        </w:tc>
        <w:tc>
          <w:tcPr>
            <w:tcW w:w="1981" w:type="dxa"/>
            <w:vAlign w:val="center"/>
          </w:tcPr>
          <w:p w14:paraId="56873E37">
            <w:pPr>
              <w:spacing w:line="320" w:lineRule="exact"/>
              <w:jc w:val="center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建议实践日期</w:t>
            </w:r>
          </w:p>
        </w:tc>
        <w:tc>
          <w:tcPr>
            <w:tcW w:w="2220" w:type="dxa"/>
            <w:vAlign w:val="center"/>
          </w:tcPr>
          <w:p w14:paraId="4C559188">
            <w:pPr>
              <w:spacing w:line="320" w:lineRule="exact"/>
              <w:jc w:val="center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2026.7.18-7.24</w:t>
            </w:r>
          </w:p>
        </w:tc>
      </w:tr>
      <w:tr w14:paraId="0902289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1834" w:type="dxa"/>
            <w:vAlign w:val="center"/>
          </w:tcPr>
          <w:p w14:paraId="10199104">
            <w:pPr>
              <w:spacing w:before="60" w:after="60" w:line="320" w:lineRule="exact"/>
              <w:jc w:val="center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建议实践地点</w:t>
            </w:r>
          </w:p>
        </w:tc>
        <w:tc>
          <w:tcPr>
            <w:tcW w:w="4065" w:type="dxa"/>
            <w:gridSpan w:val="3"/>
            <w:vAlign w:val="center"/>
          </w:tcPr>
          <w:p w14:paraId="630D9075">
            <w:pPr>
              <w:widowControl/>
              <w:jc w:val="center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兴安盟科右前旗柳树川村及周边村镇</w:t>
            </w:r>
          </w:p>
        </w:tc>
        <w:tc>
          <w:tcPr>
            <w:tcW w:w="1981" w:type="dxa"/>
            <w:vAlign w:val="center"/>
          </w:tcPr>
          <w:p w14:paraId="30357C7F">
            <w:pPr>
              <w:spacing w:line="320" w:lineRule="exact"/>
              <w:jc w:val="center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建议团队人数</w:t>
            </w:r>
          </w:p>
        </w:tc>
        <w:tc>
          <w:tcPr>
            <w:tcW w:w="2220" w:type="dxa"/>
            <w:vAlign w:val="center"/>
          </w:tcPr>
          <w:p w14:paraId="6940D00E">
            <w:pPr>
              <w:spacing w:line="320" w:lineRule="exact"/>
              <w:jc w:val="center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8-15人</w:t>
            </w:r>
          </w:p>
        </w:tc>
      </w:tr>
      <w:tr w14:paraId="1E1EC30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1834" w:type="dxa"/>
            <w:vAlign w:val="center"/>
          </w:tcPr>
          <w:p w14:paraId="26965A67">
            <w:pPr>
              <w:spacing w:before="60" w:after="60" w:line="320" w:lineRule="exact"/>
              <w:jc w:val="center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ascii="仿宋_GB2312" w:hAnsi="仿宋" w:eastAsia="仿宋_GB2312"/>
                <w:sz w:val="24"/>
                <w:szCs w:val="32"/>
              </w:rPr>
              <w:t>涉及保密事项</w:t>
            </w:r>
          </w:p>
        </w:tc>
        <w:tc>
          <w:tcPr>
            <w:tcW w:w="4065" w:type="dxa"/>
            <w:gridSpan w:val="3"/>
            <w:vAlign w:val="center"/>
          </w:tcPr>
          <w:p w14:paraId="566348EC">
            <w:pPr>
              <w:spacing w:line="320" w:lineRule="exact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□是（请简要说明）☑否</w:t>
            </w:r>
          </w:p>
        </w:tc>
        <w:tc>
          <w:tcPr>
            <w:tcW w:w="1981" w:type="dxa"/>
            <w:vAlign w:val="center"/>
          </w:tcPr>
          <w:p w14:paraId="23F6B381">
            <w:pPr>
              <w:spacing w:line="320" w:lineRule="exact"/>
              <w:jc w:val="center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ascii="仿宋_GB2312" w:hAnsi="仿宋" w:eastAsia="仿宋_GB2312"/>
                <w:sz w:val="22"/>
                <w:szCs w:val="28"/>
              </w:rPr>
              <w:t>预期</w:t>
            </w:r>
            <w:r>
              <w:rPr>
                <w:rFonts w:hint="eastAsia" w:ascii="仿宋_GB2312" w:hAnsi="仿宋" w:eastAsia="仿宋_GB2312"/>
                <w:sz w:val="22"/>
                <w:szCs w:val="28"/>
              </w:rPr>
              <w:t>匹配</w:t>
            </w:r>
            <w:r>
              <w:rPr>
                <w:rFonts w:ascii="仿宋_GB2312" w:hAnsi="仿宋" w:eastAsia="仿宋_GB2312"/>
                <w:sz w:val="22"/>
                <w:szCs w:val="28"/>
              </w:rPr>
              <w:t>团队数量</w:t>
            </w:r>
          </w:p>
        </w:tc>
        <w:tc>
          <w:tcPr>
            <w:tcW w:w="2220" w:type="dxa"/>
            <w:vAlign w:val="center"/>
          </w:tcPr>
          <w:p w14:paraId="4958A23E">
            <w:pPr>
              <w:spacing w:line="320" w:lineRule="exact"/>
              <w:jc w:val="center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1</w:t>
            </w:r>
          </w:p>
        </w:tc>
      </w:tr>
      <w:tr w14:paraId="4FBDE51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1834" w:type="dxa"/>
            <w:vMerge w:val="restart"/>
            <w:vAlign w:val="center"/>
          </w:tcPr>
          <w:p w14:paraId="05AEDEAE">
            <w:pPr>
              <w:spacing w:before="60" w:after="60" w:line="320" w:lineRule="exact"/>
              <w:jc w:val="center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联系人</w:t>
            </w:r>
          </w:p>
        </w:tc>
        <w:tc>
          <w:tcPr>
            <w:tcW w:w="1393" w:type="dxa"/>
            <w:vAlign w:val="center"/>
          </w:tcPr>
          <w:p w14:paraId="16181A17">
            <w:pPr>
              <w:spacing w:before="60" w:after="60" w:line="320" w:lineRule="exact"/>
              <w:jc w:val="center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姓名</w:t>
            </w:r>
          </w:p>
        </w:tc>
        <w:tc>
          <w:tcPr>
            <w:tcW w:w="1275" w:type="dxa"/>
            <w:vAlign w:val="center"/>
          </w:tcPr>
          <w:p w14:paraId="5EECB2D1">
            <w:pPr>
              <w:spacing w:before="60" w:after="60" w:line="320" w:lineRule="exact"/>
              <w:jc w:val="center"/>
              <w:rPr>
                <w:rFonts w:hint="eastAsia" w:ascii="仿宋_GB2312" w:hAnsi="仿宋" w:eastAsia="仿宋_GB2312"/>
                <w:spacing w:val="-34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pacing w:val="-34"/>
                <w:sz w:val="24"/>
                <w:szCs w:val="32"/>
              </w:rPr>
              <w:t>李上峰</w:t>
            </w:r>
          </w:p>
        </w:tc>
        <w:tc>
          <w:tcPr>
            <w:tcW w:w="1397" w:type="dxa"/>
            <w:vAlign w:val="center"/>
          </w:tcPr>
          <w:p w14:paraId="54DC9C58">
            <w:pPr>
              <w:spacing w:before="60" w:after="60" w:line="320" w:lineRule="exact"/>
              <w:jc w:val="center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联系电话</w:t>
            </w:r>
          </w:p>
        </w:tc>
        <w:tc>
          <w:tcPr>
            <w:tcW w:w="4201" w:type="dxa"/>
            <w:gridSpan w:val="2"/>
            <w:vAlign w:val="center"/>
          </w:tcPr>
          <w:p w14:paraId="2E93B0E9">
            <w:pPr>
              <w:spacing w:line="320" w:lineRule="exact"/>
              <w:jc w:val="center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18810853313</w:t>
            </w:r>
          </w:p>
        </w:tc>
      </w:tr>
      <w:tr w14:paraId="6D994E6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1834" w:type="dxa"/>
            <w:vMerge w:val="continue"/>
            <w:vAlign w:val="center"/>
          </w:tcPr>
          <w:p w14:paraId="450A172F">
            <w:pPr>
              <w:spacing w:before="60" w:after="60" w:line="320" w:lineRule="exact"/>
              <w:jc w:val="center"/>
              <w:rPr>
                <w:rFonts w:hint="eastAsia" w:ascii="仿宋_GB2312" w:hAnsi="仿宋" w:eastAsia="仿宋_GB2312"/>
                <w:sz w:val="24"/>
                <w:szCs w:val="32"/>
              </w:rPr>
            </w:pPr>
          </w:p>
        </w:tc>
        <w:tc>
          <w:tcPr>
            <w:tcW w:w="1393" w:type="dxa"/>
            <w:vAlign w:val="center"/>
          </w:tcPr>
          <w:p w14:paraId="62D951F9">
            <w:pPr>
              <w:spacing w:before="60" w:after="60" w:line="320" w:lineRule="exact"/>
              <w:jc w:val="center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职务/职称</w:t>
            </w:r>
          </w:p>
        </w:tc>
        <w:tc>
          <w:tcPr>
            <w:tcW w:w="1275" w:type="dxa"/>
            <w:vAlign w:val="center"/>
          </w:tcPr>
          <w:p w14:paraId="073F291C">
            <w:pPr>
              <w:spacing w:before="60" w:after="60" w:line="320" w:lineRule="exact"/>
              <w:jc w:val="center"/>
              <w:rPr>
                <w:rFonts w:hint="eastAsia" w:ascii="仿宋_GB2312" w:hAnsi="仿宋" w:eastAsia="仿宋_GB2312"/>
                <w:spacing w:val="-34"/>
                <w:sz w:val="24"/>
                <w:szCs w:val="32"/>
                <w:lang w:eastAsia="zh-CN"/>
              </w:rPr>
            </w:pPr>
            <w:r>
              <w:rPr>
                <w:rFonts w:hint="eastAsia" w:ascii="仿宋_GB2312" w:hAnsi="仿宋" w:eastAsia="仿宋_GB2312"/>
                <w:spacing w:val="-34"/>
                <w:sz w:val="24"/>
                <w:szCs w:val="32"/>
                <w:lang w:eastAsia="zh-CN"/>
              </w:rPr>
              <w:t>——</w:t>
            </w:r>
          </w:p>
        </w:tc>
        <w:tc>
          <w:tcPr>
            <w:tcW w:w="1397" w:type="dxa"/>
            <w:vAlign w:val="center"/>
          </w:tcPr>
          <w:p w14:paraId="4B7CE15E">
            <w:pPr>
              <w:spacing w:before="60" w:after="60" w:line="320" w:lineRule="exact"/>
              <w:jc w:val="center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电子邮箱</w:t>
            </w:r>
          </w:p>
        </w:tc>
        <w:tc>
          <w:tcPr>
            <w:tcW w:w="4201" w:type="dxa"/>
            <w:gridSpan w:val="2"/>
            <w:vAlign w:val="center"/>
          </w:tcPr>
          <w:p w14:paraId="5917DDD1">
            <w:pPr>
              <w:spacing w:line="320" w:lineRule="exact"/>
              <w:jc w:val="center"/>
              <w:rPr>
                <w:rFonts w:hint="eastAsia" w:ascii="仿宋_GB2312" w:hAnsi="仿宋" w:eastAsia="仿宋_GB2312"/>
                <w:sz w:val="24"/>
                <w:szCs w:val="32"/>
              </w:rPr>
            </w:pPr>
          </w:p>
        </w:tc>
      </w:tr>
      <w:tr w14:paraId="7CEA135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1834" w:type="dxa"/>
            <w:vAlign w:val="center"/>
          </w:tcPr>
          <w:p w14:paraId="7872CE36">
            <w:pPr>
              <w:spacing w:line="520" w:lineRule="exact"/>
              <w:jc w:val="center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题目介绍</w:t>
            </w:r>
          </w:p>
          <w:p w14:paraId="43D84F37">
            <w:pPr>
              <w:spacing w:line="520" w:lineRule="exact"/>
              <w:jc w:val="center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18"/>
                <w:szCs w:val="21"/>
              </w:rPr>
              <w:t>（背景与现实需求）</w:t>
            </w:r>
          </w:p>
        </w:tc>
        <w:tc>
          <w:tcPr>
            <w:tcW w:w="8266" w:type="dxa"/>
            <w:gridSpan w:val="5"/>
          </w:tcPr>
          <w:p w14:paraId="1C81DC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bidi="ar"/>
              </w:rPr>
              <w:t>本项目立足兴安盟科右前旗乡村振兴真实发展需求，聚焦产业提质、美育补位、文旅赋能三大核心痛点，打造“绿色科创+生态教育+红色研学”三位一体系列实践体系。当地果业、农贸产业产生大量农林废弃物，存在资源化利用率低、产业附加值不高、品牌影响力薄弱等问题；乡村基层生态文明教育、阅读美育资源匮乏，青少年生态素养培育载体不足；区域红色资源底蕴深厚，但资源分散、研学体系不完善、宣传力度不足，未能有效转化为乡村文旅发展动能。本项目充分发挥高校材料、林化、人文设计等专业优势，以科创助农激活绿色产业、以美育下乡滋养乡村教育、以红色赋能盘活文旅资源，实现产业振兴、教育振兴、文化振兴双向赋能，助力乡村全面振兴。</w:t>
            </w:r>
          </w:p>
        </w:tc>
      </w:tr>
      <w:tr w14:paraId="44C888C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7" w:hRule="atLeast"/>
        </w:trPr>
        <w:tc>
          <w:tcPr>
            <w:tcW w:w="1834" w:type="dxa"/>
            <w:vAlign w:val="center"/>
          </w:tcPr>
          <w:p w14:paraId="79346C55">
            <w:pPr>
              <w:spacing w:line="520" w:lineRule="exact"/>
              <w:jc w:val="center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主要任务内容</w:t>
            </w:r>
          </w:p>
        </w:tc>
        <w:tc>
          <w:tcPr>
            <w:tcW w:w="8266" w:type="dxa"/>
            <w:gridSpan w:val="5"/>
          </w:tcPr>
          <w:p w14:paraId="6E0014A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2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32"/>
              </w:rPr>
              <w:t>一、农林废弃物高值化调研与乡村产业品牌提质行动</w:t>
            </w:r>
          </w:p>
          <w:p w14:paraId="513B49F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2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32"/>
              </w:rPr>
              <w:t>1.产业实地调研与资源摸排：</w:t>
            </w:r>
            <w:r>
              <w:rPr>
                <w:rFonts w:hint="eastAsia" w:ascii="仿宋_GB2312" w:hAnsi="仿宋_GB2312" w:eastAsia="仿宋_GB2312" w:cs="仿宋_GB2312"/>
                <w:sz w:val="24"/>
                <w:szCs w:val="32"/>
              </w:rPr>
              <w:t>深度走访本土企业，系统调研生产规模与废弃物现状，摸清资源利用瓶颈，精准梳理产业发展痛点。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32"/>
              </w:rPr>
              <w:t>2.高值化利用方案研发：</w:t>
            </w:r>
            <w:r>
              <w:rPr>
                <w:rFonts w:hint="eastAsia" w:ascii="仿宋_GB2312" w:hAnsi="仿宋_GB2312" w:eastAsia="仿宋_GB2312" w:cs="仿宋_GB2312"/>
                <w:sz w:val="24"/>
                <w:szCs w:val="32"/>
              </w:rPr>
              <w:t>发挥林产专业优势，针对性研发农林废料循环利用路径及生态材料转化方案，赋能产业绿色升级。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32"/>
              </w:rPr>
              <w:t>3.产品设计与品牌推广：</w:t>
            </w:r>
            <w:r>
              <w:rPr>
                <w:rFonts w:hint="eastAsia" w:ascii="仿宋_GB2312" w:hAnsi="仿宋_GB2312" w:eastAsia="仿宋_GB2312" w:cs="仿宋_GB2312"/>
                <w:sz w:val="24"/>
                <w:szCs w:val="32"/>
              </w:rPr>
              <w:t>立足本土农产品、林产品特色，为企业产品优化包装设计、视觉标识、文创衍生产品开展本土企业产品宣传推广，拓宽乡村特色产品曝光渠道，助力乡村产业品牌提质升级。</w:t>
            </w:r>
          </w:p>
          <w:p w14:paraId="09EF349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2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32"/>
              </w:rPr>
              <w:t>二、生态文明主题夏令营与乡村阅读赋能行动</w:t>
            </w:r>
          </w:p>
          <w:p w14:paraId="7378C57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2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32"/>
              </w:rPr>
              <w:t>1.特色夏令营体系搭建</w:t>
            </w:r>
            <w:r>
              <w:rPr>
                <w:rFonts w:hint="eastAsia" w:ascii="仿宋_GB2312" w:hAnsi="仿宋_GB2312" w:eastAsia="仿宋_GB2312" w:cs="仿宋_GB2312"/>
                <w:sz w:val="24"/>
                <w:szCs w:val="32"/>
              </w:rPr>
              <w:t>：依托前期建成的乡村阅读空间，全新打造主题生态文明夏令营，面向当地乡村中小学生开展为期一周的沉浸式公益美育实践，填补乡村暑期素质教育空白。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32"/>
              </w:rPr>
              <w:t>2.开展生态科普课堂：</w:t>
            </w:r>
            <w:r>
              <w:rPr>
                <w:rFonts w:hint="eastAsia" w:ascii="仿宋_GB2312" w:hAnsi="仿宋_GB2312" w:eastAsia="仿宋_GB2312" w:cs="仿宋_GB2312"/>
                <w:sz w:val="24"/>
                <w:szCs w:val="32"/>
              </w:rPr>
              <w:t>围绕绿色环保、农林科普、生态文明建设等主题，定制通俗易懂、趣味互动的科普课程体系，通过相应林产专业普及农林资源保护、废弃物循环利用、绿色低碳发展知识，培育乡村青少年生态环保理念，了解内蒙古生态环境现状。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32"/>
              </w:rPr>
              <w:t>3.线上互动课与实践体验活动：</w:t>
            </w:r>
            <w:r>
              <w:rPr>
                <w:rFonts w:hint="eastAsia" w:ascii="仿宋_GB2312" w:hAnsi="仿宋_GB2312" w:eastAsia="仿宋_GB2312" w:cs="仿宋_GB2312"/>
                <w:sz w:val="24"/>
                <w:szCs w:val="32"/>
              </w:rPr>
              <w:t>依靠木工，家具方向老师提供相应动手能力较强互动课，激发同学热情，了解本地木材用途，采取对应实践课丰富乡村青少年精神文化生活，夯实乡村美育教育根基。</w:t>
            </w:r>
          </w:p>
          <w:p w14:paraId="69D06BA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2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32"/>
              </w:rPr>
              <w:t>三、本土红色资源挖掘与特色研学路线打造行动</w:t>
            </w:r>
          </w:p>
          <w:p w14:paraId="002913E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2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32"/>
              </w:rPr>
              <w:t>1.红色资源实地走访梳理：</w:t>
            </w:r>
            <w:r>
              <w:rPr>
                <w:rFonts w:hint="eastAsia" w:ascii="仿宋_GB2312" w:hAnsi="仿宋_GB2312" w:eastAsia="仿宋_GB2312" w:cs="仿宋_GB2312"/>
                <w:sz w:val="24"/>
                <w:szCs w:val="32"/>
              </w:rPr>
              <w:t>深度调研区域红色教育资源，实地走访具有代表性的红色历史核心点位，系统梳理各点位的历史背景、红色故事、时代教育价值及区位分布优势。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32"/>
              </w:rPr>
              <w:t>2.标准化红色研学路线设计：</w:t>
            </w:r>
            <w:r>
              <w:rPr>
                <w:rFonts w:hint="eastAsia" w:ascii="仿宋_GB2312" w:hAnsi="仿宋_GB2312" w:eastAsia="仿宋_GB2312" w:cs="仿宋_GB2312"/>
                <w:sz w:val="24"/>
                <w:szCs w:val="32"/>
              </w:rPr>
              <w:t>结合青少年研学需求、文旅发展规律，整合红色点位资源，科学规划串联式、沉浸式红色研学精品路线，明确研学流程、讲解要点、实践环节、安全规范，配套编写研学解说词、研学手册、打卡指南，打造专业化、本土化、特色化红色研学体系。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32"/>
              </w:rPr>
              <w:t>3.红色文旅宣传推广：</w:t>
            </w:r>
            <w:r>
              <w:rPr>
                <w:rFonts w:hint="eastAsia" w:ascii="仿宋_GB2312" w:hAnsi="仿宋_GB2312" w:eastAsia="仿宋_GB2312" w:cs="仿宋_GB2312"/>
                <w:sz w:val="24"/>
                <w:szCs w:val="32"/>
              </w:rPr>
              <w:t>深挖兴安盟红色文化内涵，制作红色研学宣传推文、短视频、宣传海报等新媒体产品，多渠道推广本土红色研学路线；结合乡村文旅发展，推动红色资源与乡村旅游、美育教育、思政实践深度融合，激活乡村红色文旅经济，助力红色文化传承与乡村文旅振兴。</w:t>
            </w:r>
          </w:p>
        </w:tc>
      </w:tr>
      <w:tr w14:paraId="71E0D77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7" w:hRule="atLeast"/>
        </w:trPr>
        <w:tc>
          <w:tcPr>
            <w:tcW w:w="1834" w:type="dxa"/>
            <w:vAlign w:val="center"/>
          </w:tcPr>
          <w:p w14:paraId="7E19B596">
            <w:pPr>
              <w:spacing w:line="520" w:lineRule="exact"/>
              <w:jc w:val="center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预期成果</w:t>
            </w:r>
          </w:p>
        </w:tc>
        <w:tc>
          <w:tcPr>
            <w:tcW w:w="8266" w:type="dxa"/>
            <w:gridSpan w:val="5"/>
          </w:tcPr>
          <w:p w14:paraId="08AAF57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2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32"/>
              </w:rPr>
              <w:t>1.产业调研成果：</w:t>
            </w:r>
            <w:r>
              <w:rPr>
                <w:rFonts w:hint="eastAsia" w:ascii="仿宋_GB2312" w:hAnsi="仿宋_GB2312" w:eastAsia="仿宋_GB2312" w:cs="仿宋_GB2312"/>
                <w:sz w:val="24"/>
                <w:szCs w:val="32"/>
              </w:rPr>
              <w:t>形成《农林废弃物资源化利用与乡村产业发展调研报告》，输出农林废料高值化利用可行性方案及产业提质优化建议，为地方企业绿色转型提供科学参考。</w:t>
            </w:r>
          </w:p>
          <w:p w14:paraId="4CC218F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32"/>
              </w:rPr>
              <w:t>2.美育实践成果：形成生态科普实践活动完整方案、课程课件及阅读台账，留存环保手作、研学影像等全套美育纪实资料，打造乡村美育实践样本。</w:t>
            </w:r>
          </w:p>
          <w:p w14:paraId="633D96B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32"/>
              </w:rPr>
              <w:t>3.红色研学成果：规划精品红色研学路线一套，产出系列红色文化宣传作品，形成可落地、可推广的乡村红色文旅发展方案。</w:t>
            </w:r>
          </w:p>
          <w:p w14:paraId="589B3D4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2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32"/>
              </w:rPr>
              <w:t>4.综合纪实成果：</w:t>
            </w:r>
            <w:r>
              <w:rPr>
                <w:rFonts w:hint="eastAsia" w:ascii="仿宋_GB2312" w:hAnsi="仿宋_GB2312" w:eastAsia="仿宋_GB2312" w:cs="仿宋_GB2312"/>
                <w:sz w:val="24"/>
                <w:szCs w:val="32"/>
              </w:rPr>
              <w:t>规划精品红色研学路线产出高质量社会实践纪实短片、新闻宣发稿件及实践总结报告，形成“科创+美育+红色”三位一体的乡村振兴实践示范案例。</w:t>
            </w:r>
          </w:p>
        </w:tc>
      </w:tr>
      <w:tr w14:paraId="50777E0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7" w:hRule="atLeast"/>
        </w:trPr>
        <w:tc>
          <w:tcPr>
            <w:tcW w:w="1834" w:type="dxa"/>
            <w:vAlign w:val="center"/>
          </w:tcPr>
          <w:p w14:paraId="36005F7C">
            <w:pPr>
              <w:spacing w:line="320" w:lineRule="exact"/>
              <w:jc w:val="center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可提供支持条件及指导措施</w:t>
            </w:r>
          </w:p>
        </w:tc>
        <w:tc>
          <w:tcPr>
            <w:tcW w:w="8266" w:type="dxa"/>
            <w:gridSpan w:val="5"/>
          </w:tcPr>
          <w:p w14:paraId="79A45413">
            <w:pPr>
              <w:widowControl/>
              <w:spacing w:line="320" w:lineRule="exact"/>
              <w:jc w:val="left"/>
              <w:rPr>
                <w:rFonts w:hint="eastAsia" w:ascii="仿宋_GB2312" w:hAnsi="仿宋" w:eastAsia="仿宋_GB2312"/>
                <w:sz w:val="24"/>
                <w:szCs w:val="32"/>
              </w:rPr>
            </w:pPr>
          </w:p>
          <w:p w14:paraId="0AC043CE">
            <w:pPr>
              <w:widowControl/>
              <w:spacing w:line="320" w:lineRule="exact"/>
              <w:jc w:val="left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协调实践场地，交通住宿。对接相应资源。</w:t>
            </w:r>
          </w:p>
        </w:tc>
      </w:tr>
      <w:tr w14:paraId="43FD720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7" w:hRule="atLeast"/>
        </w:trPr>
        <w:tc>
          <w:tcPr>
            <w:tcW w:w="1834" w:type="dxa"/>
            <w:vAlign w:val="center"/>
          </w:tcPr>
          <w:p w14:paraId="4B7B85BB">
            <w:pPr>
              <w:spacing w:line="320" w:lineRule="exact"/>
              <w:jc w:val="center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安全风险及</w:t>
            </w:r>
            <w:r>
              <w:rPr>
                <w:rFonts w:hint="eastAsia" w:ascii="仿宋_GB2312" w:hAnsi="仿宋" w:eastAsia="仿宋_GB2312"/>
                <w:sz w:val="24"/>
                <w:szCs w:val="32"/>
              </w:rPr>
              <w:br w:type="textWrapping"/>
            </w:r>
            <w:r>
              <w:rPr>
                <w:rFonts w:hint="eastAsia" w:ascii="仿宋_GB2312" w:hAnsi="仿宋" w:eastAsia="仿宋_GB2312"/>
                <w:sz w:val="24"/>
                <w:szCs w:val="32"/>
              </w:rPr>
              <w:t>注意事项</w:t>
            </w:r>
          </w:p>
        </w:tc>
        <w:tc>
          <w:tcPr>
            <w:tcW w:w="8266" w:type="dxa"/>
            <w:gridSpan w:val="5"/>
          </w:tcPr>
          <w:p w14:paraId="224EA5A9">
            <w:pPr>
              <w:widowControl/>
              <w:spacing w:line="320" w:lineRule="exact"/>
              <w:jc w:val="left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无</w:t>
            </w:r>
          </w:p>
        </w:tc>
      </w:tr>
      <w:tr w14:paraId="7335005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2" w:hRule="atLeast"/>
        </w:trPr>
        <w:tc>
          <w:tcPr>
            <w:tcW w:w="1834" w:type="dxa"/>
            <w:vAlign w:val="center"/>
          </w:tcPr>
          <w:p w14:paraId="698EA90A">
            <w:pPr>
              <w:spacing w:line="520" w:lineRule="exact"/>
              <w:jc w:val="center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单位审核意见</w:t>
            </w:r>
          </w:p>
        </w:tc>
        <w:tc>
          <w:tcPr>
            <w:tcW w:w="8266" w:type="dxa"/>
            <w:gridSpan w:val="5"/>
          </w:tcPr>
          <w:p w14:paraId="7E04A5A5">
            <w:pPr>
              <w:spacing w:line="520" w:lineRule="exact"/>
              <w:jc w:val="right"/>
              <w:rPr>
                <w:rFonts w:hint="eastAsia" w:ascii="仿宋_GB2312" w:hAnsi="仿宋" w:eastAsia="仿宋_GB2312"/>
                <w:sz w:val="24"/>
                <w:szCs w:val="32"/>
              </w:rPr>
            </w:pPr>
          </w:p>
          <w:p w14:paraId="1278AC70">
            <w:pPr>
              <w:spacing w:line="520" w:lineRule="exact"/>
              <w:jc w:val="right"/>
              <w:rPr>
                <w:rFonts w:hint="eastAsia" w:ascii="仿宋_GB2312" w:hAnsi="仿宋" w:eastAsia="仿宋_GB2312"/>
                <w:sz w:val="24"/>
                <w:szCs w:val="32"/>
              </w:rPr>
            </w:pPr>
          </w:p>
          <w:p w14:paraId="33AC0BDC">
            <w:pPr>
              <w:spacing w:line="520" w:lineRule="exact"/>
              <w:jc w:val="right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ascii="仿宋_GB2312" w:hAnsi="仿宋" w:eastAsia="仿宋_GB2312"/>
                <w:sz w:val="24"/>
                <w:szCs w:val="32"/>
              </w:rPr>
              <w:t>负责人签字：__________________</w:t>
            </w:r>
          </w:p>
          <w:p w14:paraId="20FFF391">
            <w:pPr>
              <w:spacing w:line="520" w:lineRule="exact"/>
              <w:jc w:val="right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ascii="仿宋_GB2312" w:hAnsi="仿宋" w:eastAsia="仿宋_GB2312"/>
                <w:sz w:val="24"/>
                <w:szCs w:val="32"/>
              </w:rPr>
              <w:t>单位盖章：__________________</w:t>
            </w:r>
          </w:p>
          <w:p w14:paraId="2A912E32">
            <w:pPr>
              <w:spacing w:line="520" w:lineRule="exact"/>
              <w:jc w:val="right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ascii="仿宋_GB2312" w:hAnsi="仿宋" w:eastAsia="仿宋_GB2312"/>
                <w:sz w:val="24"/>
                <w:szCs w:val="32"/>
              </w:rPr>
              <w:t>_______年_______月_______日</w:t>
            </w:r>
          </w:p>
        </w:tc>
      </w:tr>
    </w:tbl>
    <w:p w14:paraId="58504C3C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DAC548E"/>
    <w:rsid w:val="000E3E81"/>
    <w:rsid w:val="002217A8"/>
    <w:rsid w:val="00294799"/>
    <w:rsid w:val="002F0909"/>
    <w:rsid w:val="00366663"/>
    <w:rsid w:val="00422623"/>
    <w:rsid w:val="00436306"/>
    <w:rsid w:val="00486C35"/>
    <w:rsid w:val="00581759"/>
    <w:rsid w:val="00631B42"/>
    <w:rsid w:val="00862528"/>
    <w:rsid w:val="008B236E"/>
    <w:rsid w:val="00920E99"/>
    <w:rsid w:val="009E30B3"/>
    <w:rsid w:val="00A20ECD"/>
    <w:rsid w:val="00AB05E4"/>
    <w:rsid w:val="00B55BD3"/>
    <w:rsid w:val="00BA5AED"/>
    <w:rsid w:val="00BC2603"/>
    <w:rsid w:val="00C05909"/>
    <w:rsid w:val="00C156C7"/>
    <w:rsid w:val="00C20DFF"/>
    <w:rsid w:val="00C27F73"/>
    <w:rsid w:val="00CA158E"/>
    <w:rsid w:val="00D216FB"/>
    <w:rsid w:val="00D5201D"/>
    <w:rsid w:val="00DE1CFB"/>
    <w:rsid w:val="00DF6DC1"/>
    <w:rsid w:val="00E13FAA"/>
    <w:rsid w:val="00E23BBF"/>
    <w:rsid w:val="00E4259C"/>
    <w:rsid w:val="00E523C7"/>
    <w:rsid w:val="00E70923"/>
    <w:rsid w:val="00EA5705"/>
    <w:rsid w:val="00EC7F15"/>
    <w:rsid w:val="00F3028A"/>
    <w:rsid w:val="00FE0177"/>
    <w:rsid w:val="00FE1EC4"/>
    <w:rsid w:val="00FE2E3F"/>
    <w:rsid w:val="0DAC548E"/>
    <w:rsid w:val="0F452746"/>
    <w:rsid w:val="119B4F8B"/>
    <w:rsid w:val="18104A86"/>
    <w:rsid w:val="1F443106"/>
    <w:rsid w:val="21BE719F"/>
    <w:rsid w:val="330B0433"/>
    <w:rsid w:val="58F509F1"/>
    <w:rsid w:val="5B0B0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Strong"/>
    <w:basedOn w:val="5"/>
    <w:qFormat/>
    <w:uiPriority w:val="0"/>
    <w:rPr>
      <w:b/>
    </w:rPr>
  </w:style>
  <w:style w:type="character" w:customStyle="1" w:styleId="7">
    <w:name w:val="页眉 字符"/>
    <w:basedOn w:val="5"/>
    <w:link w:val="3"/>
    <w:uiPriority w:val="0"/>
    <w:rPr>
      <w:rFonts w:ascii="Calibri" w:hAnsi="Calibri"/>
      <w:kern w:val="2"/>
      <w:sz w:val="18"/>
      <w:szCs w:val="18"/>
    </w:rPr>
  </w:style>
  <w:style w:type="character" w:customStyle="1" w:styleId="8">
    <w:name w:val="页脚 字符"/>
    <w:basedOn w:val="5"/>
    <w:link w:val="2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1896</Words>
  <Characters>1982</Characters>
  <Lines>55</Lines>
  <Paragraphs>55</Paragraphs>
  <TotalTime>0</TotalTime>
  <ScaleCrop>false</ScaleCrop>
  <LinksUpToDate>false</LinksUpToDate>
  <CharactersWithSpaces>1982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2026-05-13T08:42:00Z</dcterms:created>
  <dc:creator>武宏宇</dc:creator>
  <cp:lastModifiedBy>李世鑫</cp:lastModifiedBy>
  <dcterms:modified xsi:type="dcterms:W3CDTF">2026-05-14T00:47:27Z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9F2D3DEA305D443DA22686190C0B7672_13</vt:lpwstr>
  </property>
  <property fmtid="{D5CDD505-2E9C-101B-9397-08002B2CF9AE}" pid="4" name="KSOTemplateDocerSaveRecord">
    <vt:lpwstr>eyJoZGlkIjoiYzA4N2Y4YzI4NGZkM2RiY2NlMTUwNmQ1ZWIxNTY5MTMiLCJ1c2VySWQiOiIzODk5OTgyNjkifQ==</vt:lpwstr>
  </property>
</Properties>
</file>