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E8C4">
      <w:pPr>
        <w:tabs>
          <w:tab w:val="center" w:pos="4252"/>
        </w:tabs>
        <w:snapToGrid w:val="0"/>
        <w:spacing w:line="520" w:lineRule="exact"/>
        <w:ind w:right="-340" w:rightChars="-162"/>
        <w:jc w:val="center"/>
        <w:rPr>
          <w:rFonts w:hint="eastAsia" w:ascii="仿宋_GB2312" w:hAnsi="仿宋" w:eastAsia="仿宋_GB2312"/>
          <w:b/>
          <w:sz w:val="32"/>
          <w:szCs w:val="32"/>
        </w:rPr>
      </w:pPr>
      <w:r>
        <w:rPr>
          <w:rFonts w:hint="eastAsia" w:ascii="仿宋_GB2312" w:hAnsi="仿宋" w:eastAsia="仿宋_GB2312"/>
          <w:b/>
          <w:sz w:val="32"/>
          <w:szCs w:val="32"/>
        </w:rPr>
        <w:t>2026年社会实践“揭榜挂帅”榜单征集表</w:t>
      </w:r>
    </w:p>
    <w:tbl>
      <w:tblPr>
        <w:tblStyle w:val="6"/>
        <w:tblpPr w:leftFromText="180" w:rightFromText="180" w:vertAnchor="text" w:horzAnchor="margin" w:tblpXSpec="center" w:tblpY="317"/>
        <w:tblW w:w="10100" w:type="dxa"/>
        <w:jc w:val="center"/>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834"/>
        <w:gridCol w:w="1393"/>
        <w:gridCol w:w="1275"/>
        <w:gridCol w:w="1397"/>
        <w:gridCol w:w="1981"/>
        <w:gridCol w:w="2220"/>
      </w:tblGrid>
      <w:tr w14:paraId="1311368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jc w:val="center"/>
        </w:trPr>
        <w:tc>
          <w:tcPr>
            <w:tcW w:w="1834" w:type="dxa"/>
            <w:vAlign w:val="center"/>
          </w:tcPr>
          <w:p w14:paraId="609289F5">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榜单名称</w:t>
            </w:r>
          </w:p>
        </w:tc>
        <w:tc>
          <w:tcPr>
            <w:tcW w:w="8266" w:type="dxa"/>
            <w:gridSpan w:val="5"/>
            <w:vAlign w:val="center"/>
          </w:tcPr>
          <w:p w14:paraId="70C36547">
            <w:pPr>
              <w:spacing w:line="320" w:lineRule="exact"/>
              <w:ind w:firstLine="352" w:firstLineChars="147"/>
              <w:jc w:val="center"/>
              <w:rPr>
                <w:rFonts w:hint="eastAsia" w:ascii="仿宋_GB2312" w:hAnsi="仿宋" w:eastAsia="仿宋_GB2312"/>
                <w:sz w:val="24"/>
                <w:szCs w:val="32"/>
              </w:rPr>
            </w:pPr>
            <w:r>
              <w:rPr>
                <w:rFonts w:hint="eastAsia" w:ascii="仿宋_GB2312" w:hAnsi="仿宋" w:eastAsia="仿宋_GB2312"/>
                <w:sz w:val="24"/>
                <w:szCs w:val="32"/>
              </w:rPr>
              <w:t>全球典型生态项目案例研究及温榆河公园</w:t>
            </w:r>
            <w:r>
              <w:rPr>
                <w:rFonts w:ascii="仿宋_GB2312" w:hAnsi="仿宋" w:eastAsia="仿宋_GB2312"/>
                <w:sz w:val="24"/>
                <w:szCs w:val="32"/>
              </w:rPr>
              <w:t>生态项目引入</w:t>
            </w:r>
            <w:r>
              <w:rPr>
                <w:rFonts w:hint="eastAsia" w:ascii="仿宋_GB2312" w:hAnsi="仿宋" w:eastAsia="仿宋_GB2312"/>
                <w:sz w:val="24"/>
                <w:szCs w:val="32"/>
              </w:rPr>
              <w:t>方案</w:t>
            </w:r>
          </w:p>
        </w:tc>
      </w:tr>
      <w:tr w14:paraId="6406536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jc w:val="center"/>
        </w:trPr>
        <w:tc>
          <w:tcPr>
            <w:tcW w:w="1834" w:type="dxa"/>
            <w:vAlign w:val="center"/>
          </w:tcPr>
          <w:p w14:paraId="22C77975">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出题单位</w:t>
            </w:r>
          </w:p>
        </w:tc>
        <w:tc>
          <w:tcPr>
            <w:tcW w:w="8266" w:type="dxa"/>
            <w:gridSpan w:val="5"/>
            <w:vAlign w:val="center"/>
          </w:tcPr>
          <w:p w14:paraId="0076C350">
            <w:pPr>
              <w:spacing w:line="320" w:lineRule="exact"/>
              <w:ind w:firstLine="352" w:firstLineChars="147"/>
              <w:jc w:val="center"/>
              <w:rPr>
                <w:rFonts w:hint="eastAsia" w:ascii="仿宋_GB2312" w:hAnsi="仿宋" w:eastAsia="仿宋_GB2312"/>
                <w:sz w:val="24"/>
                <w:szCs w:val="32"/>
              </w:rPr>
            </w:pPr>
            <w:r>
              <w:rPr>
                <w:rFonts w:hint="eastAsia" w:ascii="仿宋_GB2312" w:hAnsi="仿宋" w:eastAsia="仿宋_GB2312"/>
                <w:sz w:val="24"/>
                <w:szCs w:val="32"/>
              </w:rPr>
              <w:t>北京温榆河公园建设管理有限公司</w:t>
            </w:r>
          </w:p>
        </w:tc>
      </w:tr>
      <w:tr w14:paraId="0440CD84">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jc w:val="center"/>
        </w:trPr>
        <w:tc>
          <w:tcPr>
            <w:tcW w:w="1834" w:type="dxa"/>
            <w:vAlign w:val="center"/>
          </w:tcPr>
          <w:p w14:paraId="4D219C27">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是否联合其他单位出题</w:t>
            </w:r>
          </w:p>
        </w:tc>
        <w:tc>
          <w:tcPr>
            <w:tcW w:w="4065" w:type="dxa"/>
            <w:gridSpan w:val="3"/>
            <w:vAlign w:val="center"/>
          </w:tcPr>
          <w:p w14:paraId="48468463">
            <w:pPr>
              <w:spacing w:line="320" w:lineRule="exact"/>
              <w:ind w:firstLine="352" w:firstLineChars="147"/>
              <w:jc w:val="center"/>
              <w:rPr>
                <w:rFonts w:hint="eastAsia" w:ascii="仿宋_GB2312" w:hAnsi="仿宋"/>
                <w:sz w:val="24"/>
                <w:szCs w:val="32"/>
              </w:rPr>
            </w:pPr>
            <w:r>
              <w:rPr>
                <w:rFonts w:hint="eastAsia" w:ascii="仿宋_GB2312" w:hAnsi="仿宋" w:eastAsia="仿宋_GB2312"/>
                <w:sz w:val="24"/>
                <w:szCs w:val="32"/>
              </w:rPr>
              <w:t xml:space="preserve">□是      </w:t>
            </w:r>
            <w:r>
              <w:rPr>
                <w:rFonts w:hint="eastAsia" w:ascii="仿宋_GB2312" w:hAnsi="仿宋" w:eastAsia="仿宋_GB2312"/>
                <w:sz w:val="24"/>
                <w:szCs w:val="32"/>
              </w:rPr>
              <w:sym w:font="Wingdings 2" w:char="F050"/>
            </w:r>
            <w:r>
              <w:rPr>
                <w:rFonts w:hint="eastAsia" w:ascii="仿宋_GB2312" w:hAnsi="仿宋" w:eastAsia="仿宋_GB2312"/>
                <w:sz w:val="24"/>
                <w:szCs w:val="32"/>
              </w:rPr>
              <w:t>否</w:t>
            </w:r>
          </w:p>
        </w:tc>
        <w:tc>
          <w:tcPr>
            <w:tcW w:w="4201" w:type="dxa"/>
            <w:gridSpan w:val="2"/>
            <w:vAlign w:val="center"/>
          </w:tcPr>
          <w:p w14:paraId="53654A05">
            <w:pPr>
              <w:spacing w:line="320" w:lineRule="exact"/>
              <w:ind w:firstLine="352" w:firstLineChars="147"/>
              <w:jc w:val="center"/>
              <w:rPr>
                <w:rFonts w:hint="eastAsia" w:ascii="仿宋_GB2312" w:hAnsi="仿宋" w:eastAsia="仿宋_GB2312"/>
                <w:sz w:val="24"/>
                <w:szCs w:val="32"/>
              </w:rPr>
            </w:pPr>
            <w:r>
              <w:rPr>
                <w:rFonts w:hint="eastAsia" w:ascii="仿宋_GB2312" w:hAnsi="仿宋" w:eastAsia="仿宋_GB2312"/>
                <w:sz w:val="24"/>
                <w:szCs w:val="32"/>
              </w:rPr>
              <w:t>如勾选“是”，请在此栏填写联合出题单位名称</w:t>
            </w:r>
          </w:p>
        </w:tc>
      </w:tr>
      <w:tr w14:paraId="28908A29">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jc w:val="center"/>
        </w:trPr>
        <w:tc>
          <w:tcPr>
            <w:tcW w:w="1834" w:type="dxa"/>
            <w:vAlign w:val="center"/>
          </w:tcPr>
          <w:p w14:paraId="1664A0F2">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建议参与专业</w:t>
            </w:r>
          </w:p>
        </w:tc>
        <w:tc>
          <w:tcPr>
            <w:tcW w:w="4065" w:type="dxa"/>
            <w:gridSpan w:val="3"/>
            <w:vAlign w:val="center"/>
          </w:tcPr>
          <w:p w14:paraId="2D7F3297">
            <w:pPr>
              <w:spacing w:line="320" w:lineRule="exact"/>
              <w:jc w:val="center"/>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林学院、水保学院、园林学院、经管学院、保护学院、国家公园学院、环境学院、草学院各专业及</w:t>
            </w:r>
            <w:r>
              <w:rPr>
                <w:rFonts w:hint="eastAsia" w:ascii="仿宋_GB2312" w:hAnsi="仿宋" w:eastAsia="仿宋_GB2312"/>
                <w:sz w:val="24"/>
                <w:szCs w:val="32"/>
              </w:rPr>
              <w:t>环设、大数据、计算机、心理学</w:t>
            </w:r>
            <w:r>
              <w:rPr>
                <w:rFonts w:hint="eastAsia" w:ascii="仿宋_GB2312" w:hAnsi="仿宋" w:eastAsia="仿宋_GB2312"/>
                <w:sz w:val="24"/>
                <w:szCs w:val="32"/>
                <w:lang w:val="en-US" w:eastAsia="zh-CN"/>
              </w:rPr>
              <w:t>等</w:t>
            </w:r>
          </w:p>
        </w:tc>
        <w:tc>
          <w:tcPr>
            <w:tcW w:w="1981" w:type="dxa"/>
            <w:vAlign w:val="center"/>
          </w:tcPr>
          <w:p w14:paraId="03C49A0F">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建议实践日期</w:t>
            </w:r>
          </w:p>
        </w:tc>
        <w:tc>
          <w:tcPr>
            <w:tcW w:w="2220" w:type="dxa"/>
            <w:vAlign w:val="center"/>
          </w:tcPr>
          <w:p w14:paraId="2856E4B4">
            <w:pPr>
              <w:spacing w:line="320" w:lineRule="exact"/>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7-9月</w:t>
            </w:r>
          </w:p>
        </w:tc>
      </w:tr>
      <w:tr w14:paraId="1032B2E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jc w:val="center"/>
        </w:trPr>
        <w:tc>
          <w:tcPr>
            <w:tcW w:w="1834" w:type="dxa"/>
            <w:vAlign w:val="center"/>
          </w:tcPr>
          <w:p w14:paraId="4C110649">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建议实践地点</w:t>
            </w:r>
          </w:p>
        </w:tc>
        <w:tc>
          <w:tcPr>
            <w:tcW w:w="4065" w:type="dxa"/>
            <w:gridSpan w:val="3"/>
            <w:vAlign w:val="center"/>
          </w:tcPr>
          <w:p w14:paraId="442AEB9F">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北京温榆河公园朝阳段</w:t>
            </w:r>
          </w:p>
        </w:tc>
        <w:tc>
          <w:tcPr>
            <w:tcW w:w="1981" w:type="dxa"/>
            <w:vAlign w:val="center"/>
          </w:tcPr>
          <w:p w14:paraId="3D9E0914">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建议团队人数</w:t>
            </w:r>
          </w:p>
        </w:tc>
        <w:tc>
          <w:tcPr>
            <w:tcW w:w="2220" w:type="dxa"/>
            <w:vAlign w:val="center"/>
          </w:tcPr>
          <w:p w14:paraId="72CF27B1">
            <w:pPr>
              <w:spacing w:line="320" w:lineRule="exact"/>
              <w:jc w:val="center"/>
              <w:rPr>
                <w:rFonts w:hint="eastAsia" w:ascii="仿宋_GB2312" w:hAnsi="仿宋" w:eastAsia="仿宋_GB2312"/>
                <w:sz w:val="24"/>
                <w:szCs w:val="32"/>
                <w:lang w:val="en-US" w:eastAsia="zh-CN"/>
              </w:rPr>
            </w:pPr>
            <w:r>
              <w:rPr>
                <w:rFonts w:hint="eastAsia" w:ascii="仿宋_GB2312" w:hAnsi="仿宋" w:eastAsia="仿宋_GB2312"/>
                <w:sz w:val="24"/>
                <w:szCs w:val="32"/>
              </w:rPr>
              <w:t>8-12</w:t>
            </w:r>
            <w:r>
              <w:rPr>
                <w:rFonts w:hint="eastAsia" w:ascii="仿宋_GB2312" w:hAnsi="仿宋" w:eastAsia="仿宋_GB2312"/>
                <w:sz w:val="24"/>
                <w:szCs w:val="32"/>
                <w:lang w:val="en-US" w:eastAsia="zh-CN"/>
              </w:rPr>
              <w:t>人</w:t>
            </w:r>
          </w:p>
        </w:tc>
      </w:tr>
      <w:tr w14:paraId="5958729B">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jc w:val="center"/>
        </w:trPr>
        <w:tc>
          <w:tcPr>
            <w:tcW w:w="1834" w:type="dxa"/>
            <w:vAlign w:val="center"/>
          </w:tcPr>
          <w:p w14:paraId="5B9AF7A8">
            <w:pPr>
              <w:spacing w:before="60" w:after="60" w:line="320" w:lineRule="exact"/>
              <w:jc w:val="center"/>
              <w:rPr>
                <w:rFonts w:hint="eastAsia" w:ascii="仿宋_GB2312" w:hAnsi="仿宋" w:eastAsia="仿宋_GB2312"/>
                <w:sz w:val="24"/>
                <w:szCs w:val="32"/>
              </w:rPr>
            </w:pPr>
            <w:r>
              <w:rPr>
                <w:rFonts w:ascii="仿宋_GB2312" w:hAnsi="仿宋" w:eastAsia="仿宋_GB2312"/>
                <w:sz w:val="24"/>
                <w:szCs w:val="32"/>
              </w:rPr>
              <w:t>涉及保密事项</w:t>
            </w:r>
          </w:p>
        </w:tc>
        <w:tc>
          <w:tcPr>
            <w:tcW w:w="4065" w:type="dxa"/>
            <w:gridSpan w:val="3"/>
            <w:vAlign w:val="center"/>
          </w:tcPr>
          <w:p w14:paraId="32BF4E59">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 xml:space="preserve">□是（请简要说明） </w:t>
            </w:r>
            <w:r>
              <w:rPr>
                <w:rFonts w:hint="eastAsia" w:ascii="仿宋_GB2312" w:hAnsi="仿宋" w:eastAsia="仿宋_GB2312"/>
                <w:sz w:val="24"/>
                <w:szCs w:val="32"/>
              </w:rPr>
              <w:sym w:font="Wingdings 2" w:char="F050"/>
            </w:r>
            <w:r>
              <w:rPr>
                <w:rFonts w:hint="eastAsia" w:ascii="仿宋_GB2312" w:hAnsi="仿宋" w:eastAsia="仿宋_GB2312"/>
                <w:sz w:val="24"/>
                <w:szCs w:val="32"/>
              </w:rPr>
              <w:t>否</w:t>
            </w:r>
          </w:p>
        </w:tc>
        <w:tc>
          <w:tcPr>
            <w:tcW w:w="1981" w:type="dxa"/>
            <w:vAlign w:val="center"/>
          </w:tcPr>
          <w:p w14:paraId="2E405F68">
            <w:pPr>
              <w:spacing w:line="320" w:lineRule="exact"/>
              <w:jc w:val="center"/>
              <w:rPr>
                <w:rFonts w:hint="eastAsia" w:ascii="仿宋_GB2312" w:hAnsi="仿宋" w:eastAsia="仿宋_GB2312"/>
                <w:sz w:val="24"/>
                <w:szCs w:val="32"/>
              </w:rPr>
            </w:pPr>
            <w:r>
              <w:rPr>
                <w:rFonts w:ascii="仿宋_GB2312" w:hAnsi="仿宋" w:eastAsia="仿宋_GB2312"/>
                <w:sz w:val="22"/>
                <w:szCs w:val="28"/>
              </w:rPr>
              <w:t>预期</w:t>
            </w:r>
            <w:r>
              <w:rPr>
                <w:rFonts w:hint="eastAsia" w:ascii="仿宋_GB2312" w:hAnsi="仿宋" w:eastAsia="仿宋_GB2312"/>
                <w:sz w:val="22"/>
                <w:szCs w:val="28"/>
              </w:rPr>
              <w:t>匹配</w:t>
            </w:r>
            <w:r>
              <w:rPr>
                <w:rFonts w:ascii="仿宋_GB2312" w:hAnsi="仿宋" w:eastAsia="仿宋_GB2312"/>
                <w:sz w:val="22"/>
                <w:szCs w:val="28"/>
              </w:rPr>
              <w:t>团队数量</w:t>
            </w:r>
          </w:p>
        </w:tc>
        <w:tc>
          <w:tcPr>
            <w:tcW w:w="2220" w:type="dxa"/>
            <w:vAlign w:val="center"/>
          </w:tcPr>
          <w:p w14:paraId="42FF62AE">
            <w:pPr>
              <w:spacing w:line="320" w:lineRule="exact"/>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2-3</w:t>
            </w:r>
          </w:p>
        </w:tc>
      </w:tr>
      <w:tr w14:paraId="18E1BD8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jc w:val="center"/>
        </w:trPr>
        <w:tc>
          <w:tcPr>
            <w:tcW w:w="1834" w:type="dxa"/>
            <w:vMerge w:val="restart"/>
            <w:vAlign w:val="center"/>
          </w:tcPr>
          <w:p w14:paraId="65DA6760">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联系人</w:t>
            </w:r>
          </w:p>
        </w:tc>
        <w:tc>
          <w:tcPr>
            <w:tcW w:w="1393" w:type="dxa"/>
            <w:vAlign w:val="center"/>
          </w:tcPr>
          <w:p w14:paraId="5F068A8E">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姓  名</w:t>
            </w:r>
          </w:p>
        </w:tc>
        <w:tc>
          <w:tcPr>
            <w:tcW w:w="1275" w:type="dxa"/>
            <w:vAlign w:val="center"/>
          </w:tcPr>
          <w:p w14:paraId="13988018">
            <w:pPr>
              <w:spacing w:before="60" w:after="60" w:line="320" w:lineRule="exact"/>
              <w:jc w:val="center"/>
              <w:rPr>
                <w:rFonts w:hint="eastAsia" w:ascii="仿宋_GB2312" w:hAnsi="仿宋" w:eastAsia="仿宋_GB2312"/>
                <w:spacing w:val="-34"/>
                <w:sz w:val="24"/>
                <w:szCs w:val="32"/>
              </w:rPr>
            </w:pPr>
            <w:r>
              <w:rPr>
                <w:rFonts w:hint="eastAsia" w:ascii="仿宋_GB2312" w:hAnsi="仿宋" w:eastAsia="仿宋_GB2312"/>
                <w:spacing w:val="-34"/>
                <w:sz w:val="24"/>
                <w:szCs w:val="32"/>
              </w:rPr>
              <w:t>曾婕</w:t>
            </w:r>
          </w:p>
        </w:tc>
        <w:tc>
          <w:tcPr>
            <w:tcW w:w="1397" w:type="dxa"/>
            <w:vAlign w:val="center"/>
          </w:tcPr>
          <w:p w14:paraId="645696E9">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联系电话</w:t>
            </w:r>
          </w:p>
        </w:tc>
        <w:tc>
          <w:tcPr>
            <w:tcW w:w="4201" w:type="dxa"/>
            <w:gridSpan w:val="2"/>
            <w:vAlign w:val="center"/>
          </w:tcPr>
          <w:p w14:paraId="15BBA58D">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18707162817</w:t>
            </w:r>
          </w:p>
        </w:tc>
      </w:tr>
      <w:tr w14:paraId="4596C9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jc w:val="center"/>
        </w:trPr>
        <w:tc>
          <w:tcPr>
            <w:tcW w:w="1834" w:type="dxa"/>
            <w:vMerge w:val="continue"/>
            <w:vAlign w:val="center"/>
          </w:tcPr>
          <w:p w14:paraId="1FD03E0B">
            <w:pPr>
              <w:spacing w:before="60" w:after="60" w:line="320" w:lineRule="exact"/>
              <w:jc w:val="center"/>
              <w:rPr>
                <w:rFonts w:hint="eastAsia" w:ascii="仿宋_GB2312" w:hAnsi="仿宋" w:eastAsia="仿宋_GB2312"/>
                <w:sz w:val="24"/>
                <w:szCs w:val="32"/>
              </w:rPr>
            </w:pPr>
          </w:p>
        </w:tc>
        <w:tc>
          <w:tcPr>
            <w:tcW w:w="1393" w:type="dxa"/>
            <w:vAlign w:val="center"/>
          </w:tcPr>
          <w:p w14:paraId="0674B133">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职务/职称</w:t>
            </w:r>
          </w:p>
        </w:tc>
        <w:tc>
          <w:tcPr>
            <w:tcW w:w="1275" w:type="dxa"/>
            <w:vAlign w:val="center"/>
          </w:tcPr>
          <w:p w14:paraId="1AE15B77">
            <w:pPr>
              <w:spacing w:before="60" w:after="60" w:line="320" w:lineRule="exact"/>
              <w:jc w:val="center"/>
              <w:rPr>
                <w:rFonts w:hint="eastAsia" w:ascii="仿宋_GB2312" w:hAnsi="仿宋" w:eastAsia="仿宋_GB2312"/>
                <w:spacing w:val="-34"/>
                <w:sz w:val="24"/>
                <w:szCs w:val="32"/>
                <w:lang w:eastAsia="zh-CN"/>
              </w:rPr>
            </w:pPr>
            <w:r>
              <w:rPr>
                <w:rFonts w:hint="eastAsia" w:ascii="仿宋_GB2312" w:hAnsi="仿宋" w:eastAsia="仿宋_GB2312"/>
                <w:spacing w:val="-34"/>
                <w:sz w:val="24"/>
                <w:szCs w:val="32"/>
                <w:lang w:eastAsia="zh-CN"/>
              </w:rPr>
              <w:t>——</w:t>
            </w:r>
          </w:p>
        </w:tc>
        <w:tc>
          <w:tcPr>
            <w:tcW w:w="1397" w:type="dxa"/>
            <w:vAlign w:val="center"/>
          </w:tcPr>
          <w:p w14:paraId="2D7CFBAC">
            <w:pPr>
              <w:spacing w:before="60" w:after="60" w:line="320" w:lineRule="exact"/>
              <w:jc w:val="center"/>
              <w:rPr>
                <w:rFonts w:hint="eastAsia" w:ascii="仿宋_GB2312" w:hAnsi="仿宋" w:eastAsia="仿宋_GB2312"/>
                <w:sz w:val="24"/>
                <w:szCs w:val="32"/>
              </w:rPr>
            </w:pPr>
            <w:r>
              <w:rPr>
                <w:rFonts w:hint="eastAsia" w:ascii="仿宋_GB2312" w:hAnsi="仿宋" w:eastAsia="仿宋_GB2312"/>
                <w:sz w:val="24"/>
                <w:szCs w:val="32"/>
              </w:rPr>
              <w:t>电子邮箱</w:t>
            </w:r>
          </w:p>
        </w:tc>
        <w:tc>
          <w:tcPr>
            <w:tcW w:w="4201" w:type="dxa"/>
            <w:gridSpan w:val="2"/>
            <w:vAlign w:val="center"/>
          </w:tcPr>
          <w:p w14:paraId="00B17D88">
            <w:pPr>
              <w:spacing w:line="320" w:lineRule="exact"/>
              <w:jc w:val="center"/>
              <w:rPr>
                <w:rFonts w:hint="eastAsia" w:ascii="仿宋_GB2312" w:hAnsi="仿宋" w:eastAsia="仿宋_GB2312"/>
                <w:sz w:val="24"/>
                <w:szCs w:val="32"/>
                <w:lang w:eastAsia="zh-CN"/>
              </w:rPr>
            </w:pPr>
            <w:r>
              <w:rPr>
                <w:rFonts w:hint="eastAsia" w:ascii="仿宋_GB2312" w:hAnsi="仿宋" w:eastAsia="仿宋_GB2312"/>
                <w:sz w:val="24"/>
                <w:szCs w:val="32"/>
                <w:lang w:eastAsia="zh-CN"/>
              </w:rPr>
              <w:t>——</w:t>
            </w:r>
            <w:bookmarkStart w:id="0" w:name="_GoBack"/>
            <w:bookmarkEnd w:id="0"/>
          </w:p>
        </w:tc>
      </w:tr>
      <w:tr w14:paraId="460FD43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jc w:val="center"/>
        </w:trPr>
        <w:tc>
          <w:tcPr>
            <w:tcW w:w="1834" w:type="dxa"/>
            <w:vAlign w:val="center"/>
          </w:tcPr>
          <w:p w14:paraId="22CEB02E">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题目介绍</w:t>
            </w:r>
          </w:p>
          <w:p w14:paraId="73ED5BD9">
            <w:pPr>
              <w:spacing w:line="520" w:lineRule="exact"/>
              <w:jc w:val="center"/>
              <w:rPr>
                <w:rFonts w:hint="eastAsia" w:ascii="仿宋_GB2312" w:hAnsi="仿宋" w:eastAsia="仿宋_GB2312"/>
                <w:sz w:val="24"/>
                <w:szCs w:val="32"/>
              </w:rPr>
            </w:pPr>
            <w:r>
              <w:rPr>
                <w:rFonts w:hint="eastAsia" w:ascii="仿宋_GB2312" w:hAnsi="仿宋" w:eastAsia="仿宋_GB2312"/>
                <w:sz w:val="18"/>
                <w:szCs w:val="21"/>
              </w:rPr>
              <w:t>（背景与现实需求）</w:t>
            </w:r>
          </w:p>
        </w:tc>
        <w:tc>
          <w:tcPr>
            <w:tcW w:w="8266" w:type="dxa"/>
            <w:gridSpan w:val="5"/>
          </w:tcPr>
          <w:p w14:paraId="74B32B5F">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hint="eastAsia" w:ascii="仿宋_GB2312" w:hAnsi="仿宋" w:eastAsia="仿宋_GB2312"/>
                <w:sz w:val="24"/>
                <w:szCs w:val="32"/>
              </w:rPr>
            </w:pPr>
            <w:r>
              <w:rPr>
                <w:rFonts w:ascii="仿宋_GB2312" w:hAnsi="仿宋" w:eastAsia="仿宋_GB2312"/>
                <w:sz w:val="24"/>
                <w:szCs w:val="32"/>
              </w:rPr>
              <w:t>北京温榆河公园作为首都最大“</w:t>
            </w:r>
            <w:r>
              <w:rPr>
                <w:rFonts w:hint="eastAsia" w:ascii="仿宋_GB2312" w:hAnsi="仿宋" w:eastAsia="仿宋_GB2312"/>
                <w:sz w:val="24"/>
                <w:szCs w:val="32"/>
              </w:rPr>
              <w:t>城市</w:t>
            </w:r>
            <w:r>
              <w:rPr>
                <w:rFonts w:ascii="仿宋_GB2312" w:hAnsi="仿宋" w:eastAsia="仿宋_GB2312"/>
                <w:sz w:val="24"/>
                <w:szCs w:val="32"/>
              </w:rPr>
              <w:t>绿肺”，正处于从“建设成型”向“生态提质”转型的关键阶段。</w:t>
            </w:r>
            <w:r>
              <w:rPr>
                <w:rFonts w:hint="eastAsia" w:ascii="仿宋_GB2312" w:hAnsi="仿宋" w:eastAsia="仿宋_GB2312"/>
                <w:sz w:val="24"/>
                <w:szCs w:val="32"/>
              </w:rPr>
              <w:t>自开园以来，公园引入了花溪锦田、青山公益城市森林等生态项目，但在项目引入机制及规划方面并不成熟，引入路径还有待探索。</w:t>
            </w:r>
            <w:r>
              <w:rPr>
                <w:rFonts w:ascii="仿宋_GB2312" w:hAnsi="仿宋" w:eastAsia="仿宋_GB2312"/>
                <w:sz w:val="24"/>
                <w:szCs w:val="32"/>
              </w:rPr>
              <w:t>公园管理方亟需梳理国家及北京市相关政策、企业与社会组织的生态实践，为</w:t>
            </w:r>
            <w:r>
              <w:rPr>
                <w:rFonts w:hint="eastAsia" w:ascii="仿宋_GB2312" w:hAnsi="仿宋" w:eastAsia="仿宋_GB2312"/>
                <w:sz w:val="24"/>
                <w:szCs w:val="32"/>
              </w:rPr>
              <w:t>生态</w:t>
            </w:r>
            <w:r>
              <w:rPr>
                <w:rFonts w:ascii="仿宋_GB2312" w:hAnsi="仿宋" w:eastAsia="仿宋_GB2312"/>
                <w:sz w:val="24"/>
                <w:szCs w:val="32"/>
              </w:rPr>
              <w:t>项目</w:t>
            </w:r>
            <w:r>
              <w:rPr>
                <w:rFonts w:hint="eastAsia" w:ascii="仿宋_GB2312" w:hAnsi="仿宋" w:eastAsia="仿宋_GB2312"/>
                <w:sz w:val="24"/>
                <w:szCs w:val="32"/>
              </w:rPr>
              <w:t>的引入</w:t>
            </w:r>
            <w:r>
              <w:rPr>
                <w:rFonts w:ascii="仿宋_GB2312" w:hAnsi="仿宋" w:eastAsia="仿宋_GB2312"/>
                <w:sz w:val="24"/>
                <w:szCs w:val="32"/>
              </w:rPr>
              <w:t>争取</w:t>
            </w:r>
            <w:r>
              <w:rPr>
                <w:rFonts w:hint="eastAsia" w:ascii="仿宋_GB2312" w:hAnsi="仿宋" w:eastAsia="仿宋_GB2312"/>
                <w:sz w:val="24"/>
                <w:szCs w:val="32"/>
              </w:rPr>
              <w:t>更多外部</w:t>
            </w:r>
            <w:r>
              <w:rPr>
                <w:rFonts w:ascii="仿宋_GB2312" w:hAnsi="仿宋" w:eastAsia="仿宋_GB2312"/>
                <w:sz w:val="24"/>
                <w:szCs w:val="32"/>
              </w:rPr>
              <w:t>支持。</w:t>
            </w:r>
          </w:p>
          <w:p w14:paraId="0BAE0ABA">
            <w:pPr>
              <w:keepNext w:val="0"/>
              <w:keepLines w:val="0"/>
              <w:pageBreakBefore w:val="0"/>
              <w:widowControl/>
              <w:kinsoku/>
              <w:wordWrap/>
              <w:overflowPunct/>
              <w:topLinePunct w:val="0"/>
              <w:autoSpaceDE/>
              <w:autoSpaceDN/>
              <w:bidi w:val="0"/>
              <w:adjustRightInd/>
              <w:snapToGrid/>
              <w:spacing w:line="320" w:lineRule="exact"/>
              <w:ind w:firstLine="480" w:firstLineChars="200"/>
              <w:jc w:val="left"/>
              <w:textAlignment w:val="auto"/>
              <w:rPr>
                <w:rFonts w:hint="eastAsia" w:ascii="仿宋_GB2312" w:hAnsi="仿宋" w:eastAsia="仿宋_GB2312"/>
                <w:sz w:val="24"/>
                <w:szCs w:val="32"/>
              </w:rPr>
            </w:pPr>
            <w:r>
              <w:rPr>
                <w:rFonts w:ascii="仿宋_GB2312" w:hAnsi="仿宋" w:eastAsia="仿宋_GB2312"/>
                <w:sz w:val="24"/>
                <w:szCs w:val="32"/>
              </w:rPr>
              <w:t>本榜单旨在通过学生团队建立不少于</w:t>
            </w:r>
            <w:r>
              <w:rPr>
                <w:rFonts w:hint="eastAsia" w:ascii="仿宋_GB2312" w:hAnsi="仿宋" w:eastAsia="仿宋_GB2312"/>
                <w:sz w:val="24"/>
                <w:szCs w:val="32"/>
              </w:rPr>
              <w:t>6</w:t>
            </w:r>
            <w:r>
              <w:rPr>
                <w:rFonts w:ascii="仿宋_GB2312" w:hAnsi="仿宋" w:eastAsia="仿宋_GB2312"/>
                <w:sz w:val="24"/>
                <w:szCs w:val="32"/>
              </w:rPr>
              <w:t>0个全球典型生态项目的STAR案例库，系统分析政策与多方资源，结合</w:t>
            </w:r>
            <w:r>
              <w:rPr>
                <w:rFonts w:hint="eastAsia" w:ascii="仿宋_GB2312" w:hAnsi="仿宋" w:eastAsia="仿宋_GB2312"/>
                <w:sz w:val="24"/>
                <w:szCs w:val="32"/>
              </w:rPr>
              <w:t>多学科视角</w:t>
            </w:r>
            <w:r>
              <w:rPr>
                <w:rFonts w:ascii="仿宋_GB2312" w:hAnsi="仿宋" w:eastAsia="仿宋_GB2312"/>
                <w:sz w:val="24"/>
                <w:szCs w:val="32"/>
              </w:rPr>
              <w:t>评估温榆河公园生态现状，提出分类型、分优先级、分</w:t>
            </w:r>
            <w:r>
              <w:rPr>
                <w:rFonts w:hint="eastAsia" w:ascii="仿宋_GB2312" w:hAnsi="仿宋" w:eastAsia="仿宋_GB2312"/>
                <w:sz w:val="24"/>
                <w:szCs w:val="32"/>
              </w:rPr>
              <w:t>物理</w:t>
            </w:r>
            <w:r>
              <w:rPr>
                <w:rFonts w:ascii="仿宋_GB2312" w:hAnsi="仿宋" w:eastAsia="仿宋_GB2312"/>
                <w:sz w:val="24"/>
                <w:szCs w:val="32"/>
              </w:rPr>
              <w:t>空间的可引入生态项目方案，最终形成《</w:t>
            </w:r>
            <w:r>
              <w:rPr>
                <w:rFonts w:hint="eastAsia" w:ascii="仿宋_GB2312" w:hAnsi="仿宋" w:eastAsia="仿宋_GB2312"/>
                <w:sz w:val="24"/>
                <w:szCs w:val="32"/>
              </w:rPr>
              <w:t>温榆河公园</w:t>
            </w:r>
            <w:r>
              <w:rPr>
                <w:rFonts w:ascii="仿宋_GB2312" w:hAnsi="仿宋" w:eastAsia="仿宋_GB2312"/>
                <w:sz w:val="24"/>
                <w:szCs w:val="32"/>
              </w:rPr>
              <w:t>生态项目引入的空间落位方案与外部支持清单》。研究成果将直接服务于公园后续生态提升项目的精准引入与高效落地，具有真实管理需求和显著示范价值。</w:t>
            </w:r>
          </w:p>
        </w:tc>
      </w:tr>
      <w:tr w14:paraId="7C65E38C">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0" w:hRule="atLeast"/>
          <w:jc w:val="center"/>
        </w:trPr>
        <w:tc>
          <w:tcPr>
            <w:tcW w:w="1834" w:type="dxa"/>
            <w:vAlign w:val="center"/>
          </w:tcPr>
          <w:p w14:paraId="684D99D9">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主要任务内容</w:t>
            </w:r>
          </w:p>
        </w:tc>
        <w:tc>
          <w:tcPr>
            <w:tcW w:w="8266" w:type="dxa"/>
            <w:gridSpan w:val="5"/>
            <w:vAlign w:val="top"/>
          </w:tcPr>
          <w:p w14:paraId="41FCF7B0">
            <w:pPr>
              <w:pStyle w:val="12"/>
              <w:keepNext w:val="0"/>
              <w:keepLines w:val="0"/>
              <w:pageBreakBefore w:val="0"/>
              <w:widowControl/>
              <w:numPr>
                <w:ilvl w:val="0"/>
                <w:numId w:val="1"/>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全球典型生态项目案例库建立。</w:t>
            </w:r>
          </w:p>
          <w:p w14:paraId="3402BA21">
            <w:pPr>
              <w:pStyle w:val="12"/>
              <w:keepNext w:val="0"/>
              <w:keepLines w:val="0"/>
              <w:pageBreakBefore w:val="0"/>
              <w:widowControl/>
              <w:numPr>
                <w:ilvl w:val="0"/>
                <w:numId w:val="2"/>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筛选不少于60个国内外典型生态项目，用STAR法（情境、任务、行动、结果）逐一进行分析，并标注项目时间、选址、规模，整理成库；需重点归纳项目运营中的有效动作（Action）。</w:t>
            </w:r>
          </w:p>
          <w:p w14:paraId="44DA1118">
            <w:pPr>
              <w:pStyle w:val="12"/>
              <w:keepNext w:val="0"/>
              <w:keepLines w:val="0"/>
              <w:pageBreakBefore w:val="0"/>
              <w:widowControl/>
              <w:numPr>
                <w:ilvl w:val="0"/>
                <w:numId w:val="2"/>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项目主题包括但不局限于：生物多样性提升、微小气候改善、土壤改良、流域治理。</w:t>
            </w:r>
          </w:p>
          <w:p w14:paraId="34FD8330">
            <w:pPr>
              <w:pStyle w:val="12"/>
              <w:keepNext w:val="0"/>
              <w:keepLines w:val="0"/>
              <w:pageBreakBefore w:val="0"/>
              <w:widowControl/>
              <w:numPr>
                <w:ilvl w:val="0"/>
                <w:numId w:val="2"/>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根据项目运营中的有效动作（Action），自定角度进行生态项目再归纳，形成1份《全球典型生态项目案例研究报告》。</w:t>
            </w:r>
          </w:p>
          <w:p w14:paraId="69854652">
            <w:pPr>
              <w:pStyle w:val="12"/>
              <w:keepNext w:val="0"/>
              <w:keepLines w:val="0"/>
              <w:pageBreakBefore w:val="0"/>
              <w:widowControl/>
              <w:numPr>
                <w:ilvl w:val="0"/>
                <w:numId w:val="1"/>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政策及项目梳理</w:t>
            </w:r>
          </w:p>
          <w:p w14:paraId="7A7F3831">
            <w:pPr>
              <w:pStyle w:val="12"/>
              <w:keepNext w:val="0"/>
              <w:keepLines w:val="0"/>
              <w:pageBreakBefore w:val="0"/>
              <w:widowControl/>
              <w:numPr>
                <w:ilvl w:val="0"/>
                <w:numId w:val="3"/>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围绕公园主体，归纳我国及北京市对生态、公园生态的支持性项目、政策、价值倡导。</w:t>
            </w:r>
          </w:p>
          <w:p w14:paraId="0C0DA397">
            <w:pPr>
              <w:pStyle w:val="12"/>
              <w:keepNext w:val="0"/>
              <w:keepLines w:val="0"/>
              <w:pageBreakBefore w:val="0"/>
              <w:widowControl/>
              <w:numPr>
                <w:ilvl w:val="0"/>
                <w:numId w:val="3"/>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归纳国内外大型企业在生态建设方面战略方向和落位于中国的生态项目。</w:t>
            </w:r>
          </w:p>
          <w:p w14:paraId="1C94BFC6">
            <w:pPr>
              <w:pStyle w:val="12"/>
              <w:keepNext w:val="0"/>
              <w:keepLines w:val="0"/>
              <w:pageBreakBefore w:val="0"/>
              <w:widowControl/>
              <w:numPr>
                <w:ilvl w:val="0"/>
                <w:numId w:val="3"/>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归纳国内外NGO、NPO在生态建设方面的战略方向和落位于中国的生态项目</w:t>
            </w:r>
          </w:p>
          <w:p w14:paraId="57B1DE73">
            <w:pPr>
              <w:pStyle w:val="12"/>
              <w:keepNext w:val="0"/>
              <w:keepLines w:val="0"/>
              <w:pageBreakBefore w:val="0"/>
              <w:widowControl/>
              <w:numPr>
                <w:ilvl w:val="0"/>
                <w:numId w:val="3"/>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项目主题包括但不限于：生物多样性提升、微小气候改善、土壤改良、流域治理。</w:t>
            </w:r>
          </w:p>
          <w:p w14:paraId="6112819C">
            <w:pPr>
              <w:pStyle w:val="12"/>
              <w:keepNext w:val="0"/>
              <w:keepLines w:val="0"/>
              <w:pageBreakBefore w:val="0"/>
              <w:widowControl/>
              <w:numPr>
                <w:ilvl w:val="0"/>
                <w:numId w:val="3"/>
              </w:numPr>
              <w:kinsoku/>
              <w:wordWrap/>
              <w:overflowPunct/>
              <w:topLinePunct w:val="0"/>
              <w:autoSpaceDE/>
              <w:autoSpaceDN/>
              <w:bidi w:val="0"/>
              <w:adjustRightInd/>
              <w:snapToGrid/>
              <w:spacing w:line="320" w:lineRule="exact"/>
              <w:ind w:firstLineChars="0"/>
              <w:jc w:val="left"/>
              <w:textAlignment w:val="auto"/>
              <w:rPr>
                <w:rFonts w:hint="eastAsia" w:ascii="仿宋_GB2312" w:hAnsi="仿宋" w:eastAsia="仿宋_GB2312"/>
                <w:sz w:val="24"/>
                <w:szCs w:val="32"/>
              </w:rPr>
            </w:pPr>
            <w:r>
              <w:rPr>
                <w:rFonts w:hint="eastAsia" w:ascii="仿宋_GB2312" w:hAnsi="仿宋" w:eastAsia="仿宋_GB2312"/>
                <w:sz w:val="24"/>
                <w:szCs w:val="32"/>
              </w:rPr>
              <w:t>形成一份</w:t>
            </w:r>
            <w:r>
              <w:rPr>
                <w:rFonts w:ascii="仿宋_GB2312" w:hAnsi="仿宋" w:eastAsia="仿宋_GB2312"/>
                <w:sz w:val="24"/>
                <w:szCs w:val="32"/>
              </w:rPr>
              <w:t>《</w:t>
            </w:r>
            <w:r>
              <w:rPr>
                <w:rFonts w:hint="eastAsia" w:ascii="仿宋_GB2312" w:hAnsi="仿宋" w:eastAsia="仿宋_GB2312"/>
                <w:sz w:val="24"/>
                <w:szCs w:val="32"/>
              </w:rPr>
              <w:t>温榆河公园</w:t>
            </w:r>
            <w:r>
              <w:rPr>
                <w:rFonts w:ascii="仿宋_GB2312" w:hAnsi="仿宋" w:eastAsia="仿宋_GB2312"/>
                <w:sz w:val="24"/>
                <w:szCs w:val="32"/>
              </w:rPr>
              <w:t>生态项目引入背景研究报告：政策、企业与非营利组织生态实践综述》</w:t>
            </w:r>
            <w:r>
              <w:rPr>
                <w:rFonts w:hint="eastAsia" w:ascii="仿宋_GB2312" w:hAnsi="仿宋" w:eastAsia="仿宋_GB2312"/>
                <w:sz w:val="24"/>
                <w:szCs w:val="32"/>
              </w:rPr>
              <w:t>。</w:t>
            </w:r>
          </w:p>
          <w:p w14:paraId="48E70A5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3、温榆河公园生态现状评估分析与改进策略。</w:t>
            </w:r>
          </w:p>
          <w:p w14:paraId="6118DEC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(1)运用所学专业的科学分析方法与现场感知评估温榆河公园的生态现状，整合形成1份分析报告。</w:t>
            </w:r>
          </w:p>
          <w:p w14:paraId="3C5997A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(2)使用SWOT分析法，并根据紧急度、重要度、影响度三方面进行逐条打分或排序。</w:t>
            </w:r>
          </w:p>
          <w:p w14:paraId="58B315A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(3)使用SWOT战略分析方法，形成公园生态发展矩阵策略表。</w:t>
            </w:r>
          </w:p>
          <w:p w14:paraId="71B00DDE">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(4)整合上述部分，形成1份《温榆河公园生态现状分析与发展策略报告》。</w:t>
            </w:r>
          </w:p>
          <w:p w14:paraId="2D98F43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4、北京温榆河公园适宜生态项目引入的空间落位方案与外部支持清单。</w:t>
            </w:r>
          </w:p>
          <w:p w14:paraId="653E418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(1)结合《温榆河公园生态现状分析与发展战略报告》，评估温榆河公园可引入的生态项目类型、优先级、空间范围。</w:t>
            </w:r>
          </w:p>
          <w:p w14:paraId="276432EE">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(2)针对公园可引入生态类型，进行生态项目在空间上的落位，形成温榆河公园生态项目引入与落位方案，需包含《生态项目落位平面总图》。</w:t>
            </w:r>
          </w:p>
          <w:p w14:paraId="2BE3EDFA">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(3)结合国内相关政策与生态项目（任务内容2），尽可能写出文本中每一个生态项目可争取的外部支持，包括但不限于行业政策、政企项目、资金等。</w:t>
            </w:r>
            <w:r>
              <w:rPr>
                <w:rFonts w:ascii="仿宋_GB2312" w:hAnsi="仿宋" w:eastAsia="仿宋_GB2312"/>
                <w:sz w:val="24"/>
                <w:szCs w:val="32"/>
              </w:rPr>
              <w:t xml:space="preserve"> </w:t>
            </w:r>
          </w:p>
          <w:p w14:paraId="77CC870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(4)形成</w:t>
            </w:r>
            <w:r>
              <w:rPr>
                <w:rFonts w:ascii="仿宋_GB2312" w:hAnsi="仿宋" w:eastAsia="仿宋_GB2312"/>
                <w:sz w:val="24"/>
                <w:szCs w:val="32"/>
              </w:rPr>
              <w:t>《温榆河公园生态项目引入</w:t>
            </w:r>
            <w:r>
              <w:rPr>
                <w:rFonts w:hint="eastAsia" w:ascii="仿宋_GB2312" w:hAnsi="仿宋" w:eastAsia="仿宋_GB2312"/>
                <w:sz w:val="24"/>
                <w:szCs w:val="32"/>
              </w:rPr>
              <w:t>的</w:t>
            </w:r>
            <w:r>
              <w:rPr>
                <w:rFonts w:ascii="仿宋_GB2312" w:hAnsi="仿宋" w:eastAsia="仿宋_GB2312"/>
                <w:sz w:val="24"/>
                <w:szCs w:val="32"/>
              </w:rPr>
              <w:t>空间落位方案</w:t>
            </w:r>
            <w:r>
              <w:rPr>
                <w:rFonts w:hint="eastAsia" w:ascii="仿宋_GB2312" w:hAnsi="仿宋" w:eastAsia="仿宋_GB2312"/>
                <w:sz w:val="24"/>
                <w:szCs w:val="32"/>
              </w:rPr>
              <w:t>与</w:t>
            </w:r>
            <w:r>
              <w:rPr>
                <w:rFonts w:ascii="仿宋_GB2312" w:hAnsi="仿宋" w:eastAsia="仿宋_GB2312"/>
                <w:sz w:val="24"/>
                <w:szCs w:val="32"/>
              </w:rPr>
              <w:t>外部支持清单》</w:t>
            </w:r>
            <w:r>
              <w:rPr>
                <w:rFonts w:hint="eastAsia" w:ascii="仿宋_GB2312" w:hAnsi="仿宋" w:eastAsia="仿宋_GB2312"/>
                <w:sz w:val="24"/>
                <w:szCs w:val="32"/>
              </w:rPr>
              <w:t>。</w:t>
            </w:r>
          </w:p>
        </w:tc>
      </w:tr>
      <w:tr w14:paraId="26C0B5A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030" w:hRule="atLeast"/>
          <w:jc w:val="center"/>
        </w:trPr>
        <w:tc>
          <w:tcPr>
            <w:tcW w:w="1834" w:type="dxa"/>
            <w:vAlign w:val="center"/>
          </w:tcPr>
          <w:p w14:paraId="61233C7A">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预期成果</w:t>
            </w:r>
          </w:p>
        </w:tc>
        <w:tc>
          <w:tcPr>
            <w:tcW w:w="8266" w:type="dxa"/>
            <w:gridSpan w:val="5"/>
          </w:tcPr>
          <w:p w14:paraId="2362083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1、全球典型生态项目案例库</w:t>
            </w:r>
          </w:p>
          <w:p w14:paraId="01E3288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2、《全球典型生态项目案例研究报告》</w:t>
            </w:r>
          </w:p>
          <w:p w14:paraId="7D708DA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3、《温榆河公园</w:t>
            </w:r>
            <w:r>
              <w:rPr>
                <w:rFonts w:ascii="仿宋_GB2312" w:hAnsi="仿宋" w:eastAsia="仿宋_GB2312"/>
                <w:sz w:val="24"/>
                <w:szCs w:val="32"/>
              </w:rPr>
              <w:t>生态项目引入背景研究报告：政策、企业与非营利组织生态实践综述》</w:t>
            </w:r>
          </w:p>
          <w:p w14:paraId="03E9A90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4、《温榆河公园生态现状分析与发展战略报告》</w:t>
            </w:r>
          </w:p>
          <w:p w14:paraId="4A2BF98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5、</w:t>
            </w:r>
            <w:r>
              <w:rPr>
                <w:rFonts w:ascii="仿宋_GB2312" w:hAnsi="仿宋" w:eastAsia="仿宋_GB2312"/>
                <w:sz w:val="24"/>
                <w:szCs w:val="32"/>
              </w:rPr>
              <w:t>《温榆河公园生态项目引入</w:t>
            </w:r>
            <w:r>
              <w:rPr>
                <w:rFonts w:hint="eastAsia" w:ascii="仿宋_GB2312" w:hAnsi="仿宋" w:eastAsia="仿宋_GB2312"/>
                <w:sz w:val="24"/>
                <w:szCs w:val="32"/>
              </w:rPr>
              <w:t>的</w:t>
            </w:r>
            <w:r>
              <w:rPr>
                <w:rFonts w:ascii="仿宋_GB2312" w:hAnsi="仿宋" w:eastAsia="仿宋_GB2312"/>
                <w:sz w:val="24"/>
                <w:szCs w:val="32"/>
              </w:rPr>
              <w:t>空间落位方案</w:t>
            </w:r>
            <w:r>
              <w:rPr>
                <w:rFonts w:hint="eastAsia" w:ascii="仿宋_GB2312" w:hAnsi="仿宋" w:eastAsia="仿宋_GB2312"/>
                <w:sz w:val="24"/>
                <w:szCs w:val="32"/>
              </w:rPr>
              <w:t>与</w:t>
            </w:r>
            <w:r>
              <w:rPr>
                <w:rFonts w:ascii="仿宋_GB2312" w:hAnsi="仿宋" w:eastAsia="仿宋_GB2312"/>
                <w:sz w:val="24"/>
                <w:szCs w:val="32"/>
              </w:rPr>
              <w:t>外部支持清单》</w:t>
            </w:r>
          </w:p>
        </w:tc>
      </w:tr>
      <w:tr w14:paraId="1781D72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077" w:hRule="atLeast"/>
          <w:jc w:val="center"/>
        </w:trPr>
        <w:tc>
          <w:tcPr>
            <w:tcW w:w="1834" w:type="dxa"/>
            <w:vAlign w:val="center"/>
          </w:tcPr>
          <w:p w14:paraId="04D103B7">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可提供支持条件及指导措施</w:t>
            </w:r>
          </w:p>
        </w:tc>
        <w:tc>
          <w:tcPr>
            <w:tcW w:w="8266" w:type="dxa"/>
            <w:gridSpan w:val="5"/>
          </w:tcPr>
          <w:p w14:paraId="06E1E8A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1、实践场地：7:00-21:00通行温榆河公园朝阳段示范区、一期、二期部分地块。</w:t>
            </w:r>
          </w:p>
          <w:p w14:paraId="3939C6CE">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2、对接资源：指派园内专员人员进行对接，协助提供所需的基础资料。</w:t>
            </w:r>
          </w:p>
        </w:tc>
      </w:tr>
      <w:tr w14:paraId="03271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349" w:hRule="atLeast"/>
          <w:jc w:val="center"/>
        </w:trPr>
        <w:tc>
          <w:tcPr>
            <w:tcW w:w="1834" w:type="dxa"/>
            <w:vAlign w:val="center"/>
          </w:tcPr>
          <w:p w14:paraId="1410E10A">
            <w:pPr>
              <w:spacing w:line="320" w:lineRule="exact"/>
              <w:jc w:val="center"/>
              <w:rPr>
                <w:rFonts w:hint="eastAsia" w:ascii="仿宋_GB2312" w:hAnsi="仿宋" w:eastAsia="仿宋_GB2312"/>
                <w:sz w:val="24"/>
                <w:szCs w:val="32"/>
              </w:rPr>
            </w:pPr>
            <w:r>
              <w:rPr>
                <w:rFonts w:hint="eastAsia" w:ascii="仿宋_GB2312" w:hAnsi="仿宋" w:eastAsia="仿宋_GB2312"/>
                <w:sz w:val="24"/>
                <w:szCs w:val="32"/>
              </w:rPr>
              <w:t>安全风险及</w:t>
            </w:r>
            <w:r>
              <w:rPr>
                <w:rFonts w:hint="eastAsia" w:ascii="仿宋_GB2312" w:hAnsi="仿宋" w:eastAsia="仿宋_GB2312"/>
                <w:sz w:val="24"/>
                <w:szCs w:val="32"/>
              </w:rPr>
              <w:br w:type="textWrapping"/>
            </w:r>
            <w:r>
              <w:rPr>
                <w:rFonts w:hint="eastAsia" w:ascii="仿宋_GB2312" w:hAnsi="仿宋" w:eastAsia="仿宋_GB2312"/>
                <w:sz w:val="24"/>
                <w:szCs w:val="32"/>
              </w:rPr>
              <w:t>注意事项</w:t>
            </w:r>
          </w:p>
        </w:tc>
        <w:tc>
          <w:tcPr>
            <w:tcW w:w="8266" w:type="dxa"/>
            <w:gridSpan w:val="5"/>
          </w:tcPr>
          <w:p w14:paraId="3ED1F070">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 w:eastAsia="仿宋_GB2312"/>
                <w:sz w:val="24"/>
                <w:szCs w:val="32"/>
              </w:rPr>
            </w:pPr>
            <w:r>
              <w:rPr>
                <w:rFonts w:hint="eastAsia" w:ascii="仿宋_GB2312" w:hAnsi="仿宋" w:eastAsia="仿宋_GB2312"/>
                <w:sz w:val="24"/>
                <w:szCs w:val="32"/>
              </w:rPr>
              <w:t>1、</w:t>
            </w:r>
            <w:r>
              <w:rPr>
                <w:rFonts w:eastAsia="仿宋_GB2312" w:cs="Calibri"/>
                <w:sz w:val="24"/>
                <w:szCs w:val="32"/>
              </w:rPr>
              <w:t> </w:t>
            </w:r>
            <w:r>
              <w:rPr>
                <w:rFonts w:hint="eastAsia" w:ascii="仿宋_GB2312" w:hAnsi="仿宋" w:eastAsia="仿宋_GB2312"/>
                <w:sz w:val="24"/>
                <w:szCs w:val="32"/>
              </w:rPr>
              <w:t>野外作业风险：部分调查可能会在草地、林下、灌木丛、水边进行，注意防滑、防蚊虫叮咬；夏季高温需做好防晒及补水，避免中暑。</w:t>
            </w:r>
            <w:r>
              <w:rPr>
                <w:rFonts w:ascii="仿宋_GB2312" w:hAnsi="仿宋" w:eastAsia="仿宋_GB2312"/>
                <w:sz w:val="24"/>
                <w:szCs w:val="32"/>
              </w:rPr>
              <w:br w:type="textWrapping"/>
            </w:r>
            <w:r>
              <w:rPr>
                <w:rFonts w:hint="eastAsia" w:ascii="仿宋_GB2312" w:hAnsi="仿宋" w:eastAsia="仿宋_GB2312"/>
                <w:sz w:val="24"/>
                <w:szCs w:val="32"/>
              </w:rPr>
              <w:t>2、园区规定：实践期间需服从园区管理，不得进入未开放区域或干扰游客；如遇极端天气，立即停止户外作业。</w:t>
            </w:r>
          </w:p>
        </w:tc>
      </w:tr>
      <w:tr w14:paraId="7950704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288" w:hRule="atLeast"/>
          <w:jc w:val="center"/>
        </w:trPr>
        <w:tc>
          <w:tcPr>
            <w:tcW w:w="1834" w:type="dxa"/>
            <w:vAlign w:val="center"/>
          </w:tcPr>
          <w:p w14:paraId="42652B63">
            <w:pPr>
              <w:spacing w:line="520" w:lineRule="exact"/>
              <w:jc w:val="center"/>
              <w:rPr>
                <w:rFonts w:hint="eastAsia" w:ascii="仿宋_GB2312" w:hAnsi="仿宋" w:eastAsia="仿宋_GB2312"/>
                <w:sz w:val="24"/>
                <w:szCs w:val="32"/>
              </w:rPr>
            </w:pPr>
            <w:r>
              <w:rPr>
                <w:rFonts w:hint="eastAsia" w:ascii="仿宋_GB2312" w:hAnsi="仿宋" w:eastAsia="仿宋_GB2312"/>
                <w:sz w:val="24"/>
                <w:szCs w:val="32"/>
              </w:rPr>
              <w:t>单位审核意见</w:t>
            </w:r>
          </w:p>
        </w:tc>
        <w:tc>
          <w:tcPr>
            <w:tcW w:w="8266" w:type="dxa"/>
            <w:gridSpan w:val="5"/>
          </w:tcPr>
          <w:p w14:paraId="4E9CAC26">
            <w:pPr>
              <w:spacing w:line="520" w:lineRule="exact"/>
              <w:jc w:val="right"/>
              <w:rPr>
                <w:rFonts w:hint="eastAsia" w:ascii="仿宋_GB2312" w:hAnsi="仿宋" w:eastAsia="仿宋_GB2312"/>
                <w:sz w:val="24"/>
                <w:szCs w:val="32"/>
              </w:rPr>
            </w:pPr>
          </w:p>
          <w:p w14:paraId="788A31D0">
            <w:pPr>
              <w:spacing w:line="520" w:lineRule="exact"/>
              <w:jc w:val="right"/>
              <w:rPr>
                <w:rFonts w:hint="eastAsia" w:ascii="仿宋_GB2312" w:hAnsi="仿宋" w:eastAsia="仿宋_GB2312"/>
                <w:sz w:val="24"/>
                <w:szCs w:val="32"/>
              </w:rPr>
            </w:pPr>
            <w:r>
              <w:rPr>
                <w:rFonts w:ascii="仿宋_GB2312" w:hAnsi="仿宋" w:eastAsia="仿宋_GB2312"/>
                <w:sz w:val="24"/>
                <w:szCs w:val="32"/>
              </w:rPr>
              <w:t>负责人签字：__________________</w:t>
            </w:r>
          </w:p>
          <w:p w14:paraId="4721E719">
            <w:pPr>
              <w:spacing w:line="520" w:lineRule="exact"/>
              <w:jc w:val="right"/>
              <w:rPr>
                <w:rFonts w:hint="eastAsia" w:ascii="仿宋_GB2312" w:hAnsi="仿宋" w:eastAsia="仿宋_GB2312"/>
                <w:sz w:val="24"/>
                <w:szCs w:val="32"/>
              </w:rPr>
            </w:pPr>
            <w:r>
              <w:rPr>
                <w:rFonts w:ascii="仿宋_GB2312" w:hAnsi="仿宋" w:eastAsia="仿宋_GB2312"/>
                <w:sz w:val="24"/>
                <w:szCs w:val="32"/>
              </w:rPr>
              <w:t>单位盖章：__________________</w:t>
            </w:r>
          </w:p>
          <w:p w14:paraId="3E3E5BB1">
            <w:pPr>
              <w:spacing w:line="520" w:lineRule="exact"/>
              <w:jc w:val="right"/>
              <w:rPr>
                <w:rFonts w:hint="eastAsia" w:ascii="仿宋_GB2312" w:hAnsi="仿宋" w:eastAsia="仿宋_GB2312"/>
                <w:sz w:val="24"/>
                <w:szCs w:val="32"/>
              </w:rPr>
            </w:pPr>
            <w:r>
              <w:rPr>
                <w:rFonts w:ascii="仿宋_GB2312" w:hAnsi="仿宋" w:eastAsia="仿宋_GB2312"/>
                <w:sz w:val="24"/>
                <w:szCs w:val="32"/>
              </w:rPr>
              <w:t>_______年_______月_______日</w:t>
            </w:r>
          </w:p>
        </w:tc>
      </w:tr>
    </w:tbl>
    <w:p w14:paraId="1DEFA7D0">
      <w:pPr>
        <w:spacing w:line="520" w:lineRule="exact"/>
        <w:rPr>
          <w:rFonts w:hint="eastAsia" w:ascii="仿宋_GB2312" w:hAnsi="仿宋" w:eastAsia="仿宋_GB2312"/>
          <w:sz w:val="24"/>
          <w:szCs w:val="24"/>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765FED"/>
    <w:multiLevelType w:val="multilevel"/>
    <w:tmpl w:val="21765FE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39D7051"/>
    <w:multiLevelType w:val="multilevel"/>
    <w:tmpl w:val="239D7051"/>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32941C03"/>
    <w:multiLevelType w:val="multilevel"/>
    <w:tmpl w:val="32941C0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24"/>
    <w:rsid w:val="00004C30"/>
    <w:rsid w:val="000427B9"/>
    <w:rsid w:val="00052C42"/>
    <w:rsid w:val="000A6FA4"/>
    <w:rsid w:val="000E0716"/>
    <w:rsid w:val="000F2442"/>
    <w:rsid w:val="00107D94"/>
    <w:rsid w:val="00112A51"/>
    <w:rsid w:val="001321D6"/>
    <w:rsid w:val="00142DEB"/>
    <w:rsid w:val="00165469"/>
    <w:rsid w:val="00166161"/>
    <w:rsid w:val="001A3783"/>
    <w:rsid w:val="001A73B1"/>
    <w:rsid w:val="001B481E"/>
    <w:rsid w:val="001E52F3"/>
    <w:rsid w:val="00207221"/>
    <w:rsid w:val="002241D7"/>
    <w:rsid w:val="00245232"/>
    <w:rsid w:val="002462E0"/>
    <w:rsid w:val="00252C34"/>
    <w:rsid w:val="00265132"/>
    <w:rsid w:val="0027731B"/>
    <w:rsid w:val="002920D1"/>
    <w:rsid w:val="002A507A"/>
    <w:rsid w:val="002C543F"/>
    <w:rsid w:val="002C6AA9"/>
    <w:rsid w:val="002D5B68"/>
    <w:rsid w:val="002F711E"/>
    <w:rsid w:val="003238CE"/>
    <w:rsid w:val="00364434"/>
    <w:rsid w:val="0036705B"/>
    <w:rsid w:val="003D1259"/>
    <w:rsid w:val="003E365E"/>
    <w:rsid w:val="003F6B79"/>
    <w:rsid w:val="00401166"/>
    <w:rsid w:val="00404DE3"/>
    <w:rsid w:val="00441B25"/>
    <w:rsid w:val="004428B0"/>
    <w:rsid w:val="0045787C"/>
    <w:rsid w:val="00472430"/>
    <w:rsid w:val="00473FE0"/>
    <w:rsid w:val="00480C33"/>
    <w:rsid w:val="004A002C"/>
    <w:rsid w:val="004A3DAE"/>
    <w:rsid w:val="004E44E4"/>
    <w:rsid w:val="004F6B77"/>
    <w:rsid w:val="00543F97"/>
    <w:rsid w:val="005452D8"/>
    <w:rsid w:val="00557BA4"/>
    <w:rsid w:val="00575E24"/>
    <w:rsid w:val="005769DA"/>
    <w:rsid w:val="005838D3"/>
    <w:rsid w:val="005C42BF"/>
    <w:rsid w:val="005D64E4"/>
    <w:rsid w:val="005E4840"/>
    <w:rsid w:val="005E5445"/>
    <w:rsid w:val="00614C95"/>
    <w:rsid w:val="00624771"/>
    <w:rsid w:val="006303B0"/>
    <w:rsid w:val="0063761D"/>
    <w:rsid w:val="006721ED"/>
    <w:rsid w:val="006B27A2"/>
    <w:rsid w:val="006B3469"/>
    <w:rsid w:val="006C3047"/>
    <w:rsid w:val="006D4814"/>
    <w:rsid w:val="006E6919"/>
    <w:rsid w:val="006F4BF0"/>
    <w:rsid w:val="00716A3A"/>
    <w:rsid w:val="0073288B"/>
    <w:rsid w:val="00745977"/>
    <w:rsid w:val="0075577F"/>
    <w:rsid w:val="00760896"/>
    <w:rsid w:val="00781250"/>
    <w:rsid w:val="007C539E"/>
    <w:rsid w:val="007C6C86"/>
    <w:rsid w:val="007D1693"/>
    <w:rsid w:val="007F4844"/>
    <w:rsid w:val="00817F3D"/>
    <w:rsid w:val="00826B65"/>
    <w:rsid w:val="00846F12"/>
    <w:rsid w:val="008556DD"/>
    <w:rsid w:val="00891E92"/>
    <w:rsid w:val="008A5789"/>
    <w:rsid w:val="008C44F2"/>
    <w:rsid w:val="008C6682"/>
    <w:rsid w:val="0090336C"/>
    <w:rsid w:val="009050A0"/>
    <w:rsid w:val="0094783A"/>
    <w:rsid w:val="009520E7"/>
    <w:rsid w:val="009710E3"/>
    <w:rsid w:val="00993837"/>
    <w:rsid w:val="00993C33"/>
    <w:rsid w:val="00995D74"/>
    <w:rsid w:val="009A670F"/>
    <w:rsid w:val="009C41BF"/>
    <w:rsid w:val="009C6A2C"/>
    <w:rsid w:val="009D0CAE"/>
    <w:rsid w:val="009D7215"/>
    <w:rsid w:val="009E02AA"/>
    <w:rsid w:val="009E1603"/>
    <w:rsid w:val="009E6A62"/>
    <w:rsid w:val="00A07AD1"/>
    <w:rsid w:val="00A103EA"/>
    <w:rsid w:val="00A17A6D"/>
    <w:rsid w:val="00A43745"/>
    <w:rsid w:val="00A45BB5"/>
    <w:rsid w:val="00A53752"/>
    <w:rsid w:val="00A672DB"/>
    <w:rsid w:val="00A82E61"/>
    <w:rsid w:val="00A846D3"/>
    <w:rsid w:val="00A9618C"/>
    <w:rsid w:val="00AA1D85"/>
    <w:rsid w:val="00AB6E2B"/>
    <w:rsid w:val="00AD37AB"/>
    <w:rsid w:val="00B27B48"/>
    <w:rsid w:val="00B32CC9"/>
    <w:rsid w:val="00B504AE"/>
    <w:rsid w:val="00B63BA7"/>
    <w:rsid w:val="00B64CD9"/>
    <w:rsid w:val="00BA648C"/>
    <w:rsid w:val="00BB3B1A"/>
    <w:rsid w:val="00BB3F39"/>
    <w:rsid w:val="00BD472A"/>
    <w:rsid w:val="00BD6AC4"/>
    <w:rsid w:val="00BE5C07"/>
    <w:rsid w:val="00BF2906"/>
    <w:rsid w:val="00BF3E3D"/>
    <w:rsid w:val="00C45610"/>
    <w:rsid w:val="00C64FD6"/>
    <w:rsid w:val="00C73C3F"/>
    <w:rsid w:val="00CB7B24"/>
    <w:rsid w:val="00CD2E4F"/>
    <w:rsid w:val="00CD5172"/>
    <w:rsid w:val="00CE2EE4"/>
    <w:rsid w:val="00D041D1"/>
    <w:rsid w:val="00D22D13"/>
    <w:rsid w:val="00D33841"/>
    <w:rsid w:val="00D855CF"/>
    <w:rsid w:val="00D908CA"/>
    <w:rsid w:val="00DB2843"/>
    <w:rsid w:val="00DD48AB"/>
    <w:rsid w:val="00DD66A8"/>
    <w:rsid w:val="00E151A4"/>
    <w:rsid w:val="00E740CC"/>
    <w:rsid w:val="00E759FC"/>
    <w:rsid w:val="00E77C83"/>
    <w:rsid w:val="00E85CFC"/>
    <w:rsid w:val="00EB0965"/>
    <w:rsid w:val="00F05E17"/>
    <w:rsid w:val="00F35B2E"/>
    <w:rsid w:val="00F413E7"/>
    <w:rsid w:val="00F811D1"/>
    <w:rsid w:val="00F96935"/>
    <w:rsid w:val="00FA3E14"/>
    <w:rsid w:val="00FB10BD"/>
    <w:rsid w:val="00FD444F"/>
    <w:rsid w:val="00FE612A"/>
    <w:rsid w:val="02661174"/>
    <w:rsid w:val="03046541"/>
    <w:rsid w:val="18406E7F"/>
    <w:rsid w:val="18597D7D"/>
    <w:rsid w:val="1EFF00EE"/>
    <w:rsid w:val="3C113A08"/>
    <w:rsid w:val="3D831573"/>
    <w:rsid w:val="3F162978"/>
    <w:rsid w:val="427C6F3E"/>
    <w:rsid w:val="43710E6C"/>
    <w:rsid w:val="43822092"/>
    <w:rsid w:val="566740A5"/>
    <w:rsid w:val="5AAA73B2"/>
    <w:rsid w:val="64FD3B03"/>
    <w:rsid w:val="68A506D5"/>
    <w:rsid w:val="771D87BF"/>
    <w:rsid w:val="7AF5F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批注框文本 字符"/>
    <w:basedOn w:val="7"/>
    <w:link w:val="3"/>
    <w:semiHidden/>
    <w:qFormat/>
    <w:uiPriority w:val="99"/>
    <w:rPr>
      <w:rFonts w:ascii="Calibri" w:hAnsi="Calibri" w:eastAsia="宋体" w:cs="Times New Roman"/>
      <w:sz w:val="18"/>
      <w:szCs w:val="18"/>
    </w:rPr>
  </w:style>
  <w:style w:type="paragraph" w:styleId="12">
    <w:name w:val="List Paragraph"/>
    <w:basedOn w:val="1"/>
    <w:unhideWhenUsed/>
    <w:qFormat/>
    <w:uiPriority w:val="99"/>
    <w:pPr>
      <w:ind w:firstLine="420" w:firstLineChars="200"/>
    </w:pPr>
  </w:style>
  <w:style w:type="paragraph" w:customStyle="1" w:styleId="13">
    <w:name w:val="ds-markdown-paragraph"/>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8679-494D-4CAD-8393-1A24E2DC9F1D}">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2</Pages>
  <Words>1699</Words>
  <Characters>1846</Characters>
  <Lines>67</Lines>
  <Paragraphs>68</Paragraphs>
  <TotalTime>486</TotalTime>
  <ScaleCrop>false</ScaleCrop>
  <LinksUpToDate>false</LinksUpToDate>
  <CharactersWithSpaces>1857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2024-05-24T15:04:00Z</dcterms:created>
  <dc:creator>Microsoft</dc:creator>
  <cp:lastModifiedBy>李世鑫</cp:lastModifiedBy>
  <cp:lastPrinted>2017-05-25T02:56:00Z</cp:lastPrinted>
  <dcterms:modified xsi:type="dcterms:W3CDTF">2026-05-12T08:44:47Z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9E25B23AE9964BC6A01E108B8CF597B6_13</vt:lpwstr>
  </property>
  <property fmtid="{D5CDD505-2E9C-101B-9397-08002B2CF9AE}" pid="4" name="KSOTemplateDocerSaveRecord">
    <vt:lpwstr>eyJoZGlkIjoiYzA4N2Y4YzI4NGZkM2RiY2NlMTUwNmQ1ZWIxNTY5MTMiLCJ1c2VySWQiOiIzODk5OTgyNjkifQ==</vt:lpwstr>
  </property>
</Properties>
</file>