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4E8C4">
      <w:pPr>
        <w:tabs>
          <w:tab w:val="center" w:pos="4252"/>
        </w:tabs>
        <w:snapToGrid w:val="0"/>
        <w:spacing w:line="520" w:lineRule="exact"/>
        <w:ind w:right="-340" w:rightChars="-162"/>
        <w:jc w:val="center"/>
        <w:rPr>
          <w:rFonts w:ascii="仿宋_GB2312" w:hAnsi="仿宋" w:eastAsia="仿宋_GB2312"/>
          <w:b/>
          <w:sz w:val="32"/>
          <w:szCs w:val="32"/>
        </w:rPr>
      </w:pPr>
      <w:r>
        <w:rPr>
          <w:rFonts w:hint="eastAsia" w:ascii="仿宋_GB2312" w:hAnsi="仿宋" w:eastAsia="仿宋_GB2312"/>
          <w:b/>
          <w:sz w:val="32"/>
          <w:szCs w:val="32"/>
        </w:rPr>
        <w:t>2026年暑期社会实践“揭榜挂帅”榜</w:t>
      </w:r>
      <w:r>
        <w:rPr>
          <w:rFonts w:hint="eastAsia" w:ascii="仿宋_GB2312" w:hAnsi="仿宋" w:eastAsia="仿宋_GB2312"/>
          <w:b/>
          <w:sz w:val="32"/>
          <w:szCs w:val="32"/>
          <w:lang w:val="en-US" w:eastAsia="zh-CN"/>
        </w:rPr>
        <w:t>单</w:t>
      </w:r>
      <w:r>
        <w:rPr>
          <w:rFonts w:hint="eastAsia" w:ascii="仿宋_GB2312" w:hAnsi="仿宋" w:eastAsia="仿宋_GB2312"/>
          <w:b/>
          <w:sz w:val="32"/>
          <w:szCs w:val="32"/>
        </w:rPr>
        <w:t>征集表</w:t>
      </w:r>
    </w:p>
    <w:tbl>
      <w:tblPr>
        <w:tblStyle w:val="6"/>
        <w:tblpPr w:leftFromText="180" w:rightFromText="180" w:vertAnchor="text" w:horzAnchor="margin" w:tblpXSpec="center" w:tblpY="317"/>
        <w:tblW w:w="9973" w:type="dxa"/>
        <w:tblInd w:w="0" w:type="dxa"/>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Layout w:type="fixed"/>
        <w:tblCellMar>
          <w:top w:w="0" w:type="dxa"/>
          <w:left w:w="108" w:type="dxa"/>
          <w:bottom w:w="0" w:type="dxa"/>
          <w:right w:w="108" w:type="dxa"/>
        </w:tblCellMar>
      </w:tblPr>
      <w:tblGrid>
        <w:gridCol w:w="1707"/>
        <w:gridCol w:w="1393"/>
        <w:gridCol w:w="1275"/>
        <w:gridCol w:w="1397"/>
        <w:gridCol w:w="1981"/>
        <w:gridCol w:w="2220"/>
      </w:tblGrid>
      <w:tr w14:paraId="13113681">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707" w:type="dxa"/>
            <w:vAlign w:val="center"/>
          </w:tcPr>
          <w:p w14:paraId="609289F5">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lang w:val="en-US" w:eastAsia="zh-CN"/>
              </w:rPr>
              <w:t>榜单</w:t>
            </w:r>
            <w:r>
              <w:rPr>
                <w:rFonts w:hint="eastAsia" w:ascii="仿宋_GB2312" w:hAnsi="仿宋" w:eastAsia="仿宋_GB2312"/>
                <w:sz w:val="24"/>
                <w:szCs w:val="32"/>
              </w:rPr>
              <w:t>名称</w:t>
            </w:r>
          </w:p>
        </w:tc>
        <w:tc>
          <w:tcPr>
            <w:tcW w:w="8266" w:type="dxa"/>
            <w:gridSpan w:val="5"/>
            <w:vAlign w:val="center"/>
          </w:tcPr>
          <w:p w14:paraId="70C36547">
            <w:pPr>
              <w:spacing w:line="320" w:lineRule="exact"/>
              <w:ind w:firstLine="352" w:firstLineChars="147"/>
              <w:jc w:val="center"/>
              <w:rPr>
                <w:rFonts w:ascii="仿宋_GB2312" w:hAnsi="仿宋" w:eastAsia="仿宋_GB2312"/>
                <w:sz w:val="24"/>
                <w:szCs w:val="32"/>
              </w:rPr>
            </w:pPr>
            <w:r>
              <w:rPr>
                <w:rFonts w:hint="eastAsia" w:ascii="仿宋_GB2312" w:hAnsi="仿宋" w:eastAsia="仿宋_GB2312"/>
                <w:sz w:val="24"/>
                <w:szCs w:val="32"/>
              </w:rPr>
              <w:t>北京市东灵山高山草甸退化和水土流失现状</w:t>
            </w:r>
          </w:p>
        </w:tc>
      </w:tr>
      <w:tr w14:paraId="64065360">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707" w:type="dxa"/>
            <w:vAlign w:val="center"/>
          </w:tcPr>
          <w:p w14:paraId="22C77975">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出题单位</w:t>
            </w:r>
          </w:p>
        </w:tc>
        <w:tc>
          <w:tcPr>
            <w:tcW w:w="8266" w:type="dxa"/>
            <w:gridSpan w:val="5"/>
            <w:vAlign w:val="center"/>
          </w:tcPr>
          <w:p w14:paraId="0076C350">
            <w:pPr>
              <w:spacing w:line="320" w:lineRule="exact"/>
              <w:ind w:firstLine="352" w:firstLineChars="147"/>
              <w:jc w:val="center"/>
              <w:rPr>
                <w:rFonts w:ascii="仿宋_GB2312" w:hAnsi="仿宋" w:eastAsia="仿宋_GB2312"/>
                <w:sz w:val="24"/>
                <w:szCs w:val="32"/>
              </w:rPr>
            </w:pPr>
            <w:r>
              <w:rPr>
                <w:rFonts w:hint="eastAsia" w:ascii="仿宋_GB2312" w:hAnsi="仿宋" w:eastAsia="仿宋_GB2312"/>
                <w:sz w:val="24"/>
                <w:szCs w:val="32"/>
              </w:rPr>
              <w:t>北京林业大学</w:t>
            </w:r>
          </w:p>
        </w:tc>
      </w:tr>
      <w:tr w14:paraId="0440CD84">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707" w:type="dxa"/>
            <w:vAlign w:val="center"/>
          </w:tcPr>
          <w:p w14:paraId="4D219C27">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是否联合校外单位出题</w:t>
            </w:r>
          </w:p>
        </w:tc>
        <w:tc>
          <w:tcPr>
            <w:tcW w:w="4065" w:type="dxa"/>
            <w:gridSpan w:val="3"/>
            <w:vAlign w:val="center"/>
          </w:tcPr>
          <w:p w14:paraId="48468463">
            <w:pPr>
              <w:spacing w:line="320" w:lineRule="exact"/>
              <w:ind w:firstLine="352" w:firstLineChars="147"/>
              <w:jc w:val="center"/>
              <w:rPr>
                <w:rFonts w:hint="eastAsia" w:ascii="仿宋_GB2312" w:hAnsi="仿宋"/>
                <w:sz w:val="24"/>
                <w:szCs w:val="32"/>
              </w:rPr>
            </w:pPr>
            <w:r>
              <w:rPr>
                <w:rFonts w:hint="eastAsia" w:ascii="仿宋_GB2312" w:hAnsi="仿宋" w:eastAsia="仿宋_GB2312"/>
                <w:sz w:val="24"/>
                <w:szCs w:val="32"/>
              </w:rPr>
              <w:t>□是      ☑否</w:t>
            </w:r>
          </w:p>
        </w:tc>
        <w:tc>
          <w:tcPr>
            <w:tcW w:w="4201" w:type="dxa"/>
            <w:gridSpan w:val="2"/>
            <w:vAlign w:val="center"/>
          </w:tcPr>
          <w:p w14:paraId="53654A05">
            <w:pPr>
              <w:spacing w:line="320" w:lineRule="exact"/>
              <w:ind w:firstLine="352" w:firstLineChars="147"/>
              <w:jc w:val="center"/>
              <w:rPr>
                <w:rFonts w:ascii="仿宋_GB2312" w:hAnsi="仿宋" w:eastAsia="仿宋_GB2312"/>
                <w:sz w:val="24"/>
                <w:szCs w:val="32"/>
              </w:rPr>
            </w:pPr>
            <w:r>
              <w:rPr>
                <w:rFonts w:hint="eastAsia" w:ascii="仿宋_GB2312" w:hAnsi="仿宋" w:eastAsia="仿宋_GB2312"/>
                <w:sz w:val="24"/>
                <w:szCs w:val="32"/>
              </w:rPr>
              <w:t>如勾选“是”，请在此栏填写联合出题单位名称</w:t>
            </w:r>
          </w:p>
        </w:tc>
      </w:tr>
      <w:tr w14:paraId="28908A29">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707" w:type="dxa"/>
            <w:vAlign w:val="center"/>
          </w:tcPr>
          <w:p w14:paraId="1664A0F2">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建议参与专业</w:t>
            </w:r>
          </w:p>
        </w:tc>
        <w:tc>
          <w:tcPr>
            <w:tcW w:w="4065" w:type="dxa"/>
            <w:gridSpan w:val="3"/>
            <w:vAlign w:val="center"/>
          </w:tcPr>
          <w:p w14:paraId="2D7F3297">
            <w:pPr>
              <w:spacing w:line="320" w:lineRule="exact"/>
              <w:jc w:val="center"/>
              <w:rPr>
                <w:rFonts w:hint="eastAsia" w:ascii="仿宋_GB2312" w:hAnsi="仿宋" w:eastAsia="仿宋_GB2312"/>
                <w:sz w:val="24"/>
                <w:szCs w:val="32"/>
                <w:lang w:eastAsia="zh-CN"/>
              </w:rPr>
            </w:pPr>
            <w:r>
              <w:rPr>
                <w:rFonts w:hint="eastAsia" w:ascii="仿宋_GB2312" w:hAnsi="仿宋" w:eastAsia="仿宋_GB2312"/>
                <w:sz w:val="24"/>
                <w:szCs w:val="32"/>
              </w:rPr>
              <w:t>水保、资环、林学、土壤、计算机等</w:t>
            </w:r>
          </w:p>
        </w:tc>
        <w:tc>
          <w:tcPr>
            <w:tcW w:w="1981" w:type="dxa"/>
            <w:vAlign w:val="center"/>
          </w:tcPr>
          <w:p w14:paraId="03C49A0F">
            <w:pPr>
              <w:spacing w:line="320" w:lineRule="exact"/>
              <w:jc w:val="center"/>
              <w:rPr>
                <w:rFonts w:ascii="仿宋_GB2312" w:hAnsi="仿宋" w:eastAsia="仿宋_GB2312"/>
                <w:sz w:val="24"/>
                <w:szCs w:val="32"/>
              </w:rPr>
            </w:pPr>
            <w:r>
              <w:rPr>
                <w:rFonts w:hint="eastAsia" w:ascii="仿宋_GB2312" w:hAnsi="仿宋" w:eastAsia="仿宋_GB2312"/>
                <w:sz w:val="24"/>
                <w:szCs w:val="32"/>
              </w:rPr>
              <w:t>建议实践日期</w:t>
            </w:r>
          </w:p>
        </w:tc>
        <w:tc>
          <w:tcPr>
            <w:tcW w:w="2220" w:type="dxa"/>
            <w:vAlign w:val="center"/>
          </w:tcPr>
          <w:p w14:paraId="2856E4B4">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2026.8.10-17</w:t>
            </w:r>
          </w:p>
        </w:tc>
      </w:tr>
      <w:tr w14:paraId="1032B2EE">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707" w:type="dxa"/>
            <w:vAlign w:val="center"/>
          </w:tcPr>
          <w:p w14:paraId="4C110649">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建议实践地点</w:t>
            </w:r>
          </w:p>
        </w:tc>
        <w:tc>
          <w:tcPr>
            <w:tcW w:w="4065" w:type="dxa"/>
            <w:gridSpan w:val="3"/>
            <w:vAlign w:val="center"/>
          </w:tcPr>
          <w:p w14:paraId="442AEB9F">
            <w:pPr>
              <w:spacing w:line="320" w:lineRule="exact"/>
              <w:jc w:val="center"/>
              <w:rPr>
                <w:rFonts w:ascii="仿宋_GB2312" w:hAnsi="仿宋" w:eastAsia="仿宋_GB2312"/>
                <w:sz w:val="24"/>
                <w:szCs w:val="32"/>
              </w:rPr>
            </w:pPr>
            <w:r>
              <w:rPr>
                <w:rFonts w:hint="eastAsia" w:ascii="仿宋_GB2312" w:hAnsi="仿宋" w:eastAsia="仿宋_GB2312"/>
                <w:sz w:val="24"/>
                <w:szCs w:val="32"/>
              </w:rPr>
              <w:t>北京市门头沟区清水镇灵山</w:t>
            </w:r>
          </w:p>
        </w:tc>
        <w:tc>
          <w:tcPr>
            <w:tcW w:w="1981" w:type="dxa"/>
            <w:vAlign w:val="center"/>
          </w:tcPr>
          <w:p w14:paraId="3D9E0914">
            <w:pPr>
              <w:spacing w:line="320" w:lineRule="exact"/>
              <w:jc w:val="center"/>
              <w:rPr>
                <w:rFonts w:ascii="仿宋_GB2312" w:hAnsi="仿宋" w:eastAsia="仿宋_GB2312"/>
                <w:sz w:val="24"/>
                <w:szCs w:val="32"/>
              </w:rPr>
            </w:pPr>
            <w:r>
              <w:rPr>
                <w:rFonts w:hint="eastAsia" w:ascii="仿宋_GB2312" w:hAnsi="仿宋" w:eastAsia="仿宋_GB2312"/>
                <w:sz w:val="24"/>
                <w:szCs w:val="32"/>
              </w:rPr>
              <w:t>建议团队人数</w:t>
            </w:r>
          </w:p>
        </w:tc>
        <w:tc>
          <w:tcPr>
            <w:tcW w:w="2220" w:type="dxa"/>
            <w:vAlign w:val="center"/>
          </w:tcPr>
          <w:p w14:paraId="72CF27B1">
            <w:pPr>
              <w:spacing w:line="320" w:lineRule="exact"/>
              <w:jc w:val="center"/>
              <w:rPr>
                <w:rFonts w:ascii="仿宋_GB2312" w:hAnsi="仿宋" w:eastAsia="仿宋_GB2312"/>
                <w:sz w:val="24"/>
                <w:szCs w:val="32"/>
              </w:rPr>
            </w:pPr>
            <w:r>
              <w:rPr>
                <w:rFonts w:hint="eastAsia" w:ascii="仿宋_GB2312" w:hAnsi="仿宋" w:eastAsia="仿宋_GB2312"/>
                <w:sz w:val="24"/>
                <w:szCs w:val="32"/>
              </w:rPr>
              <w:t>6</w:t>
            </w:r>
          </w:p>
        </w:tc>
      </w:tr>
      <w:tr w14:paraId="5958729B">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707" w:type="dxa"/>
            <w:vAlign w:val="center"/>
          </w:tcPr>
          <w:p w14:paraId="5B9AF7A8">
            <w:pPr>
              <w:spacing w:before="60" w:after="60" w:line="320" w:lineRule="exact"/>
              <w:jc w:val="center"/>
              <w:rPr>
                <w:rFonts w:ascii="仿宋_GB2312" w:hAnsi="仿宋" w:eastAsia="仿宋_GB2312"/>
                <w:sz w:val="24"/>
                <w:szCs w:val="32"/>
              </w:rPr>
            </w:pPr>
            <w:r>
              <w:rPr>
                <w:rFonts w:ascii="仿宋_GB2312" w:hAnsi="仿宋" w:eastAsia="仿宋_GB2312"/>
                <w:sz w:val="24"/>
                <w:szCs w:val="32"/>
              </w:rPr>
              <w:t>涉及保密事项</w:t>
            </w:r>
          </w:p>
        </w:tc>
        <w:tc>
          <w:tcPr>
            <w:tcW w:w="4065" w:type="dxa"/>
            <w:gridSpan w:val="3"/>
            <w:vAlign w:val="center"/>
          </w:tcPr>
          <w:p w14:paraId="32BF4E59">
            <w:pPr>
              <w:spacing w:line="320" w:lineRule="exact"/>
              <w:jc w:val="center"/>
              <w:rPr>
                <w:rFonts w:ascii="仿宋_GB2312" w:hAnsi="仿宋" w:eastAsia="仿宋_GB2312"/>
                <w:sz w:val="24"/>
                <w:szCs w:val="32"/>
              </w:rPr>
            </w:pPr>
            <w:r>
              <w:rPr>
                <w:rFonts w:hint="eastAsia" w:ascii="仿宋_GB2312" w:hAnsi="仿宋" w:eastAsia="仿宋_GB2312"/>
                <w:sz w:val="24"/>
                <w:szCs w:val="32"/>
              </w:rPr>
              <w:t>□是（请简要说明） ☑否</w:t>
            </w:r>
          </w:p>
        </w:tc>
        <w:tc>
          <w:tcPr>
            <w:tcW w:w="1981" w:type="dxa"/>
            <w:vAlign w:val="center"/>
          </w:tcPr>
          <w:p w14:paraId="2E405F68">
            <w:pPr>
              <w:spacing w:line="320" w:lineRule="exact"/>
              <w:jc w:val="center"/>
              <w:rPr>
                <w:rFonts w:ascii="仿宋_GB2312" w:hAnsi="仿宋" w:eastAsia="仿宋_GB2312"/>
                <w:sz w:val="24"/>
                <w:szCs w:val="32"/>
              </w:rPr>
            </w:pPr>
            <w:r>
              <w:rPr>
                <w:rFonts w:ascii="仿宋_GB2312" w:hAnsi="仿宋" w:eastAsia="仿宋_GB2312"/>
                <w:sz w:val="22"/>
                <w:szCs w:val="28"/>
              </w:rPr>
              <w:t>预期</w:t>
            </w:r>
            <w:r>
              <w:rPr>
                <w:rFonts w:hint="eastAsia" w:ascii="仿宋_GB2312" w:hAnsi="仿宋" w:eastAsia="仿宋_GB2312"/>
                <w:sz w:val="22"/>
                <w:szCs w:val="28"/>
              </w:rPr>
              <w:t>匹配</w:t>
            </w:r>
            <w:r>
              <w:rPr>
                <w:rFonts w:ascii="仿宋_GB2312" w:hAnsi="仿宋" w:eastAsia="仿宋_GB2312"/>
                <w:sz w:val="22"/>
                <w:szCs w:val="28"/>
              </w:rPr>
              <w:t>团队数量</w:t>
            </w:r>
          </w:p>
        </w:tc>
        <w:tc>
          <w:tcPr>
            <w:tcW w:w="2220" w:type="dxa"/>
            <w:vAlign w:val="center"/>
          </w:tcPr>
          <w:p w14:paraId="42FF62AE">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1-2</w:t>
            </w:r>
          </w:p>
        </w:tc>
      </w:tr>
      <w:tr w14:paraId="18E1BD8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707" w:type="dxa"/>
            <w:vMerge w:val="restart"/>
            <w:vAlign w:val="center"/>
          </w:tcPr>
          <w:p w14:paraId="65DA6760">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联系人</w:t>
            </w:r>
          </w:p>
        </w:tc>
        <w:tc>
          <w:tcPr>
            <w:tcW w:w="1393" w:type="dxa"/>
            <w:vAlign w:val="center"/>
          </w:tcPr>
          <w:p w14:paraId="5F068A8E">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姓  名</w:t>
            </w:r>
          </w:p>
        </w:tc>
        <w:tc>
          <w:tcPr>
            <w:tcW w:w="1275" w:type="dxa"/>
            <w:vAlign w:val="center"/>
          </w:tcPr>
          <w:p w14:paraId="13988018">
            <w:pPr>
              <w:spacing w:before="60" w:after="60" w:line="320" w:lineRule="exact"/>
              <w:jc w:val="center"/>
              <w:rPr>
                <w:rFonts w:ascii="仿宋_GB2312" w:hAnsi="仿宋" w:eastAsia="仿宋_GB2312"/>
                <w:spacing w:val="-34"/>
                <w:sz w:val="24"/>
                <w:szCs w:val="32"/>
              </w:rPr>
            </w:pPr>
            <w:r>
              <w:rPr>
                <w:rFonts w:hint="eastAsia" w:ascii="仿宋_GB2312" w:hAnsi="仿宋" w:eastAsia="仿宋_GB2312"/>
                <w:spacing w:val="-34"/>
                <w:sz w:val="24"/>
                <w:szCs w:val="32"/>
              </w:rPr>
              <w:t>马超</w:t>
            </w:r>
          </w:p>
        </w:tc>
        <w:tc>
          <w:tcPr>
            <w:tcW w:w="1397" w:type="dxa"/>
            <w:vAlign w:val="center"/>
          </w:tcPr>
          <w:p w14:paraId="645696E9">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联系电话</w:t>
            </w:r>
          </w:p>
        </w:tc>
        <w:tc>
          <w:tcPr>
            <w:tcW w:w="4201" w:type="dxa"/>
            <w:gridSpan w:val="2"/>
            <w:vAlign w:val="center"/>
          </w:tcPr>
          <w:p w14:paraId="15BBA58D">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13681383675</w:t>
            </w:r>
          </w:p>
        </w:tc>
      </w:tr>
      <w:tr w14:paraId="4596C9D8">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707" w:type="dxa"/>
            <w:vMerge w:val="continue"/>
            <w:vAlign w:val="center"/>
          </w:tcPr>
          <w:p w14:paraId="1FD03E0B">
            <w:pPr>
              <w:spacing w:before="60" w:after="60" w:line="320" w:lineRule="exact"/>
              <w:jc w:val="center"/>
              <w:rPr>
                <w:rFonts w:ascii="仿宋_GB2312" w:hAnsi="仿宋" w:eastAsia="仿宋_GB2312"/>
                <w:sz w:val="24"/>
                <w:szCs w:val="32"/>
              </w:rPr>
            </w:pPr>
          </w:p>
        </w:tc>
        <w:tc>
          <w:tcPr>
            <w:tcW w:w="1393" w:type="dxa"/>
            <w:vAlign w:val="center"/>
          </w:tcPr>
          <w:p w14:paraId="0674B133">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职务/职称</w:t>
            </w:r>
          </w:p>
        </w:tc>
        <w:tc>
          <w:tcPr>
            <w:tcW w:w="1275" w:type="dxa"/>
            <w:vAlign w:val="center"/>
          </w:tcPr>
          <w:p w14:paraId="1AE15B77">
            <w:pPr>
              <w:spacing w:before="60" w:after="60" w:line="320" w:lineRule="exact"/>
              <w:jc w:val="center"/>
              <w:rPr>
                <w:rFonts w:hint="eastAsia" w:ascii="仿宋_GB2312" w:hAnsi="仿宋" w:eastAsia="仿宋_GB2312"/>
                <w:spacing w:val="-34"/>
                <w:sz w:val="24"/>
                <w:szCs w:val="32"/>
                <w:lang w:eastAsia="zh-CN"/>
              </w:rPr>
            </w:pPr>
            <w:r>
              <w:rPr>
                <w:rFonts w:hint="eastAsia" w:ascii="仿宋_GB2312" w:hAnsi="仿宋" w:eastAsia="仿宋_GB2312"/>
                <w:spacing w:val="-34"/>
                <w:sz w:val="24"/>
                <w:szCs w:val="32"/>
                <w:lang w:eastAsia="zh-CN"/>
              </w:rPr>
              <w:t>——</w:t>
            </w:r>
          </w:p>
        </w:tc>
        <w:tc>
          <w:tcPr>
            <w:tcW w:w="1397" w:type="dxa"/>
            <w:vAlign w:val="center"/>
          </w:tcPr>
          <w:p w14:paraId="2D7CFBAC">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电子邮箱</w:t>
            </w:r>
          </w:p>
        </w:tc>
        <w:tc>
          <w:tcPr>
            <w:tcW w:w="4201" w:type="dxa"/>
            <w:gridSpan w:val="2"/>
            <w:vAlign w:val="center"/>
          </w:tcPr>
          <w:p w14:paraId="00B17D88">
            <w:pPr>
              <w:spacing w:line="320" w:lineRule="exact"/>
              <w:jc w:val="center"/>
              <w:rPr>
                <w:rFonts w:hint="eastAsia" w:ascii="仿宋_GB2312" w:hAnsi="仿宋" w:eastAsia="仿宋_GB2312"/>
                <w:sz w:val="24"/>
                <w:szCs w:val="32"/>
                <w:lang w:eastAsia="zh-CN"/>
              </w:rPr>
            </w:pPr>
            <w:r>
              <w:rPr>
                <w:rFonts w:hint="eastAsia" w:ascii="仿宋_GB2312" w:hAnsi="仿宋" w:eastAsia="仿宋_GB2312"/>
                <w:sz w:val="24"/>
                <w:szCs w:val="32"/>
                <w:lang w:eastAsia="zh-CN"/>
              </w:rPr>
              <w:t>——</w:t>
            </w:r>
          </w:p>
        </w:tc>
      </w:tr>
      <w:tr w14:paraId="460FD43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545" w:hRule="atLeast"/>
        </w:trPr>
        <w:tc>
          <w:tcPr>
            <w:tcW w:w="1707" w:type="dxa"/>
            <w:vAlign w:val="center"/>
          </w:tcPr>
          <w:p w14:paraId="22CEB02E">
            <w:pPr>
              <w:spacing w:line="520" w:lineRule="exact"/>
              <w:jc w:val="center"/>
              <w:rPr>
                <w:rFonts w:ascii="仿宋_GB2312" w:hAnsi="仿宋" w:eastAsia="仿宋_GB2312"/>
                <w:sz w:val="24"/>
                <w:szCs w:val="32"/>
              </w:rPr>
            </w:pPr>
            <w:r>
              <w:rPr>
                <w:rFonts w:hint="eastAsia" w:ascii="仿宋_GB2312" w:hAnsi="仿宋" w:eastAsia="仿宋_GB2312"/>
                <w:sz w:val="24"/>
                <w:szCs w:val="32"/>
              </w:rPr>
              <w:t>题目介绍</w:t>
            </w:r>
          </w:p>
          <w:p w14:paraId="73ED5BD9">
            <w:pPr>
              <w:spacing w:line="520" w:lineRule="exact"/>
              <w:jc w:val="center"/>
              <w:rPr>
                <w:rFonts w:ascii="仿宋_GB2312" w:hAnsi="仿宋" w:eastAsia="仿宋_GB2312"/>
                <w:sz w:val="24"/>
                <w:szCs w:val="32"/>
              </w:rPr>
            </w:pPr>
            <w:r>
              <w:rPr>
                <w:rFonts w:hint="eastAsia" w:ascii="仿宋_GB2312" w:hAnsi="仿宋" w:eastAsia="仿宋_GB2312"/>
                <w:sz w:val="18"/>
                <w:szCs w:val="21"/>
              </w:rPr>
              <w:t>（背景与现实需求）</w:t>
            </w:r>
          </w:p>
        </w:tc>
        <w:tc>
          <w:tcPr>
            <w:tcW w:w="8266" w:type="dxa"/>
            <w:gridSpan w:val="5"/>
          </w:tcPr>
          <w:p w14:paraId="001C3534">
            <w:pPr>
              <w:keepNext w:val="0"/>
              <w:keepLines w:val="0"/>
              <w:pageBreakBefore w:val="0"/>
              <w:kinsoku/>
              <w:wordWrap/>
              <w:overflowPunct/>
              <w:topLinePunct w:val="0"/>
              <w:autoSpaceDE/>
              <w:autoSpaceDN/>
              <w:bidi w:val="0"/>
              <w:adjustRightInd/>
              <w:snapToGrid/>
              <w:spacing w:line="320" w:lineRule="exact"/>
              <w:ind w:firstLine="480" w:firstLineChars="200"/>
              <w:textAlignment w:val="auto"/>
              <w:rPr>
                <w:rFonts w:ascii="仿宋_GB2312" w:hAnsi="仿宋" w:eastAsia="仿宋_GB2312"/>
                <w:sz w:val="24"/>
                <w:szCs w:val="32"/>
              </w:rPr>
            </w:pPr>
            <w:r>
              <w:rPr>
                <w:rFonts w:hint="eastAsia" w:ascii="仿宋_GB2312" w:hAnsi="仿宋" w:eastAsia="仿宋_GB2312"/>
                <w:sz w:val="24"/>
                <w:szCs w:val="32"/>
              </w:rPr>
              <w:t>为贯彻落实《北京市生态安全格局专项规划（2021—2035年）》和《北京市国土空间生态修复规划（2021—2035年）》关于加强山区生态保护、推进生态空间系统修复、提升水土保持功能的总体部署，亟需面向首都西部典型山地生态空间开展针对性调查与实践研究。</w:t>
            </w:r>
          </w:p>
          <w:p w14:paraId="0BAE0ABA">
            <w:pPr>
              <w:keepNext w:val="0"/>
              <w:keepLines w:val="0"/>
              <w:pageBreakBefore w:val="0"/>
              <w:kinsoku/>
              <w:wordWrap/>
              <w:overflowPunct/>
              <w:topLinePunct w:val="0"/>
              <w:autoSpaceDE/>
              <w:autoSpaceDN/>
              <w:bidi w:val="0"/>
              <w:adjustRightInd/>
              <w:snapToGrid/>
              <w:spacing w:line="320" w:lineRule="exact"/>
              <w:ind w:firstLine="480" w:firstLineChars="200"/>
              <w:textAlignment w:val="auto"/>
              <w:rPr>
                <w:rFonts w:ascii="仿宋_GB2312" w:hAnsi="仿宋" w:eastAsia="仿宋_GB2312"/>
                <w:sz w:val="24"/>
                <w:szCs w:val="32"/>
              </w:rPr>
            </w:pPr>
            <w:r>
              <w:rPr>
                <w:rFonts w:hint="eastAsia" w:ascii="仿宋_GB2312" w:hAnsi="仿宋" w:eastAsia="仿宋_GB2312"/>
                <w:sz w:val="24"/>
                <w:szCs w:val="32"/>
              </w:rPr>
              <w:t>东灵山地区地形起伏大、生态敏感性强，是北京重要的山地生态屏障组成部分。近年来，受自然过程与人为活动扰动共同影响，局部高山草甸退化和侵蚀沟发育扩张现象较为突出，已对区域植被稳定性、土壤保持功能及山地景观保护带来一定压力。依托暑期社会实践组织学生团队赴东灵山开展实地调查、访谈走访和资料整理，有助于系统掌握侵蚀沟扩张的时空特征及其驱动因素，形成面向山区生态修复、步道管理和水土保持优化的基础性成果，为首都山区生态保护与基层实践提供支撑。</w:t>
            </w:r>
          </w:p>
        </w:tc>
      </w:tr>
      <w:tr w14:paraId="7C65E38C">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237" w:hRule="atLeast"/>
        </w:trPr>
        <w:tc>
          <w:tcPr>
            <w:tcW w:w="1707" w:type="dxa"/>
            <w:vAlign w:val="center"/>
          </w:tcPr>
          <w:p w14:paraId="684D99D9">
            <w:pPr>
              <w:spacing w:line="520" w:lineRule="exact"/>
              <w:jc w:val="center"/>
              <w:rPr>
                <w:rFonts w:ascii="仿宋_GB2312" w:hAnsi="仿宋" w:eastAsia="仿宋_GB2312"/>
                <w:sz w:val="24"/>
                <w:szCs w:val="32"/>
              </w:rPr>
            </w:pPr>
            <w:r>
              <w:rPr>
                <w:rFonts w:hint="eastAsia" w:ascii="仿宋_GB2312" w:hAnsi="仿宋" w:eastAsia="仿宋_GB2312"/>
                <w:sz w:val="24"/>
                <w:szCs w:val="32"/>
              </w:rPr>
              <w:t>主要任务内容</w:t>
            </w:r>
          </w:p>
        </w:tc>
        <w:tc>
          <w:tcPr>
            <w:tcW w:w="8266" w:type="dxa"/>
            <w:gridSpan w:val="5"/>
          </w:tcPr>
          <w:p w14:paraId="03A7647D">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仿宋_GB2312" w:hAnsi="仿宋" w:eastAsia="仿宋_GB2312"/>
                <w:sz w:val="24"/>
                <w:szCs w:val="32"/>
              </w:rPr>
            </w:pPr>
            <w:r>
              <w:rPr>
                <w:rFonts w:hint="eastAsia" w:ascii="仿宋_GB2312" w:hAnsi="仿宋" w:eastAsia="仿宋_GB2312"/>
                <w:sz w:val="24"/>
                <w:szCs w:val="32"/>
              </w:rPr>
              <w:t>本实践项目拟依托东灵山退化高山草甸和草甸去发育的侵蚀沟为对开展暑期社会实践。东灵山地处北京西部山地生态敏感区，草甸退化、水土流失严重，部分地段侵蚀沟发育明显，局部还存在滑坡、崩塌、泥石流等山地灾害风险隐患。选择东灵山作为野外实践场地，既具有明显的问题导向和现实紧迫性，也契合首都西部山区生态保护、水土保持和生态修复的实际需求，适合作为学生团队开展野外调查、基层访谈和问题研究的实践平台。</w:t>
            </w:r>
          </w:p>
          <w:p w14:paraId="6C680578">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仿宋_GB2312" w:hAnsi="仿宋" w:eastAsia="仿宋_GB2312"/>
                <w:sz w:val="24"/>
                <w:szCs w:val="32"/>
              </w:rPr>
            </w:pPr>
            <w:r>
              <w:rPr>
                <w:rFonts w:hint="eastAsia" w:ascii="仿宋_GB2312" w:hAnsi="仿宋" w:eastAsia="仿宋_GB2312"/>
                <w:sz w:val="24"/>
                <w:szCs w:val="32"/>
              </w:rPr>
              <w:t>实践期间，学生团队将围绕高山草甸退化与侵蚀沟扩张问题开展实地调查，重点掌握：</w:t>
            </w:r>
          </w:p>
          <w:p w14:paraId="78886ABD">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仿宋_GB2312" w:hAnsi="仿宋" w:eastAsia="仿宋_GB2312"/>
                <w:sz w:val="24"/>
                <w:szCs w:val="32"/>
              </w:rPr>
            </w:pPr>
            <w:r>
              <w:rPr>
                <w:rFonts w:hint="eastAsia" w:ascii="仿宋_GB2312" w:hAnsi="仿宋" w:eastAsia="仿宋_GB2312"/>
                <w:sz w:val="24"/>
                <w:szCs w:val="32"/>
              </w:rPr>
              <w:t>（1）实地调查典型侵蚀沟的分布位置、发育形态、扩张特征及周边草甸退化现状；同时结合坡面侵蚀、水土流失和山地灾害隐患情况，对区域生态退化问题进行综合观察和记录。项目将依托前期研究基础和相关资料积累，为团队提供必要的背景资料、调查提纲和技术指导，帮助学生在实践中系统梳理东灵山草甸退化、侵蚀沟扩张及其驱动因素之间的关系。</w:t>
            </w:r>
          </w:p>
          <w:p w14:paraId="19EF69D8">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仿宋_GB2312" w:hAnsi="仿宋" w:eastAsia="仿宋_GB2312"/>
                <w:sz w:val="24"/>
                <w:szCs w:val="32"/>
              </w:rPr>
            </w:pPr>
            <w:r>
              <w:rPr>
                <w:rFonts w:hint="eastAsia" w:ascii="仿宋_GB2312" w:hAnsi="仿宋" w:eastAsia="仿宋_GB2312"/>
                <w:sz w:val="24"/>
                <w:szCs w:val="32"/>
              </w:rPr>
              <w:t>（2）围绕东灵山生态管理现状、草甸退化原因、游客活动影响、既有治理措施及其实施效果等内容开展访谈和交流，进一步了解地方实际需求与治理难点。通过实地踏勘与访谈结合，推动学生团队从单纯的自然现象观察延伸到生态保护、基层治理和修复需求分析，形成更具现实针对性的调研认识。</w:t>
            </w:r>
          </w:p>
          <w:p w14:paraId="6E3D3977">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hint="eastAsia" w:ascii="仿宋_GB2312" w:hAnsi="仿宋" w:eastAsia="仿宋_GB2312"/>
                <w:sz w:val="24"/>
                <w:szCs w:val="32"/>
              </w:rPr>
            </w:pPr>
            <w:r>
              <w:rPr>
                <w:rFonts w:hint="eastAsia" w:ascii="仿宋_GB2312" w:hAnsi="仿宋" w:eastAsia="仿宋_GB2312"/>
                <w:sz w:val="24"/>
                <w:szCs w:val="32"/>
              </w:rPr>
              <w:t>（3）通过以上侵蚀沟和草甸退化现状调查成果，结合室内多光谱遥感、GF图像解译，以及ERA5、附近气象站观测数据，分析侵蚀沟发育的驱动因素和草甸退化的归因。增强水保专业和资环专业土壤侵蚀侵蚀原理、遥感分析原理等基础课认识，锻炼学生的动手能力和科研思维。</w:t>
            </w:r>
          </w:p>
          <w:p w14:paraId="632EE690">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仿宋_GB2312" w:hAnsi="仿宋" w:eastAsia="仿宋_GB2312"/>
                <w:sz w:val="24"/>
                <w:szCs w:val="32"/>
              </w:rPr>
            </w:pPr>
            <w:r>
              <w:rPr>
                <w:rFonts w:hint="eastAsia" w:ascii="仿宋_GB2312" w:hAnsi="仿宋" w:eastAsia="仿宋_GB2312"/>
                <w:sz w:val="24"/>
                <w:szCs w:val="32"/>
              </w:rPr>
              <w:t>项目实施周期拟为一周左右，期间学生团队需连续开展上山调查、步行踏勘和外业记录，工作强度较大。项目拟根据实际情况争取必要的经费和物资支持，优先用于外业调查过程中的交通、住宿、基础保险、记录耗材及必要防护物资等支出，经费规模拟控制在1万元左右。同时，将根据实践安排协调往返东灵山的交通衔接、当地住宿及外业调查组织工作，尽可能为团队顺利完成实践任务提供保障。</w:t>
            </w:r>
          </w:p>
          <w:p w14:paraId="77CC870D">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hint="eastAsia" w:ascii="仿宋_GB2312" w:hAnsi="仿宋" w:eastAsia="仿宋_GB2312"/>
                <w:sz w:val="24"/>
                <w:szCs w:val="32"/>
              </w:rPr>
            </w:pPr>
            <w:r>
              <w:rPr>
                <w:rFonts w:hint="eastAsia" w:ascii="仿宋_GB2312" w:hAnsi="仿宋" w:eastAsia="仿宋_GB2312"/>
                <w:sz w:val="24"/>
                <w:szCs w:val="32"/>
              </w:rPr>
              <w:t>实地调研完成后，将结合调查结果、访谈情况和资料梳理成果，对东灵山高山草甸退化与侵蚀沟扩张问题进行系统总结，形成调查报告、资料汇编及专题建议材料，服务属地政府和相关管理部门开展生态保护、侵蚀治理和修复管理工作。</w:t>
            </w:r>
          </w:p>
        </w:tc>
      </w:tr>
      <w:tr w14:paraId="26C0B5A5">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941" w:hRule="atLeast"/>
        </w:trPr>
        <w:tc>
          <w:tcPr>
            <w:tcW w:w="1707" w:type="dxa"/>
            <w:vAlign w:val="center"/>
          </w:tcPr>
          <w:p w14:paraId="61233C7A">
            <w:pPr>
              <w:spacing w:line="520" w:lineRule="exact"/>
              <w:jc w:val="center"/>
              <w:rPr>
                <w:rFonts w:ascii="仿宋_GB2312" w:hAnsi="仿宋" w:eastAsia="仿宋_GB2312"/>
                <w:sz w:val="24"/>
                <w:szCs w:val="32"/>
              </w:rPr>
            </w:pPr>
            <w:r>
              <w:rPr>
                <w:rFonts w:hint="eastAsia" w:ascii="仿宋_GB2312" w:hAnsi="仿宋" w:eastAsia="仿宋_GB2312"/>
                <w:sz w:val="24"/>
                <w:szCs w:val="32"/>
              </w:rPr>
              <w:t>预期成果</w:t>
            </w:r>
          </w:p>
        </w:tc>
        <w:tc>
          <w:tcPr>
            <w:tcW w:w="8266" w:type="dxa"/>
            <w:gridSpan w:val="5"/>
          </w:tcPr>
          <w:p w14:paraId="21CCCEB5">
            <w:pPr>
              <w:keepNext w:val="0"/>
              <w:keepLines w:val="0"/>
              <w:pageBreakBefore w:val="0"/>
              <w:widowControl/>
              <w:numPr>
                <w:ilvl w:val="0"/>
                <w:numId w:val="1"/>
              </w:numPr>
              <w:kinsoku/>
              <w:wordWrap/>
              <w:overflowPunct/>
              <w:topLinePunct w:val="0"/>
              <w:autoSpaceDE/>
              <w:autoSpaceDN/>
              <w:bidi w:val="0"/>
              <w:adjustRightInd/>
              <w:snapToGrid/>
              <w:spacing w:line="320" w:lineRule="exact"/>
              <w:jc w:val="left"/>
              <w:textAlignment w:val="auto"/>
              <w:rPr>
                <w:rFonts w:ascii="Times New Roman" w:hAnsi="Times New Roman" w:eastAsia="仿宋_GB2312"/>
                <w:sz w:val="24"/>
                <w:szCs w:val="32"/>
              </w:rPr>
            </w:pPr>
            <w:r>
              <w:rPr>
                <w:rFonts w:ascii="Times New Roman" w:hAnsi="Times New Roman" w:eastAsia="仿宋_GB2312"/>
                <w:sz w:val="24"/>
                <w:szCs w:val="32"/>
              </w:rPr>
              <w:t>形成《东灵山高山草甸退化背景下侵蚀沟扩张调查报告》1份，系统总结实践调查过程、主要发现及基本结论。</w:t>
            </w:r>
          </w:p>
          <w:p w14:paraId="79AE792D">
            <w:pPr>
              <w:keepNext w:val="0"/>
              <w:keepLines w:val="0"/>
              <w:pageBreakBefore w:val="0"/>
              <w:widowControl/>
              <w:numPr>
                <w:ilvl w:val="0"/>
                <w:numId w:val="1"/>
              </w:numPr>
              <w:kinsoku/>
              <w:wordWrap/>
              <w:overflowPunct/>
              <w:topLinePunct w:val="0"/>
              <w:autoSpaceDE/>
              <w:autoSpaceDN/>
              <w:bidi w:val="0"/>
              <w:adjustRightInd/>
              <w:snapToGrid/>
              <w:spacing w:line="320" w:lineRule="exact"/>
              <w:jc w:val="left"/>
              <w:textAlignment w:val="auto"/>
              <w:rPr>
                <w:rFonts w:ascii="Times New Roman" w:hAnsi="Times New Roman" w:eastAsia="仿宋_GB2312"/>
                <w:sz w:val="24"/>
                <w:szCs w:val="32"/>
              </w:rPr>
            </w:pPr>
            <w:r>
              <w:rPr>
                <w:rFonts w:ascii="Times New Roman" w:hAnsi="Times New Roman" w:eastAsia="仿宋_GB2312"/>
                <w:sz w:val="24"/>
                <w:szCs w:val="32"/>
              </w:rPr>
              <w:t>形成东灵山典型调查点基础资料1套，包括调查记录、影像资料、位置点信息及访谈纪要等。</w:t>
            </w:r>
          </w:p>
          <w:p w14:paraId="4A2BF983">
            <w:pPr>
              <w:keepNext w:val="0"/>
              <w:keepLines w:val="0"/>
              <w:pageBreakBefore w:val="0"/>
              <w:widowControl/>
              <w:numPr>
                <w:ilvl w:val="0"/>
                <w:numId w:val="1"/>
              </w:numPr>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sz w:val="24"/>
                <w:szCs w:val="32"/>
              </w:rPr>
            </w:pPr>
            <w:r>
              <w:rPr>
                <w:rFonts w:ascii="Times New Roman" w:hAnsi="Times New Roman" w:eastAsia="仿宋_GB2312"/>
                <w:sz w:val="24"/>
                <w:szCs w:val="32"/>
              </w:rPr>
              <w:t>形成面向属地政府或相关管理部门的专题调研报告、对策建议材料或咨询报告1份。</w:t>
            </w:r>
          </w:p>
        </w:tc>
      </w:tr>
      <w:tr w14:paraId="1781D72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385" w:hRule="atLeast"/>
        </w:trPr>
        <w:tc>
          <w:tcPr>
            <w:tcW w:w="1707" w:type="dxa"/>
            <w:vAlign w:val="center"/>
          </w:tcPr>
          <w:p w14:paraId="04D103B7">
            <w:pPr>
              <w:spacing w:line="320" w:lineRule="exact"/>
              <w:jc w:val="center"/>
              <w:rPr>
                <w:rFonts w:ascii="仿宋_GB2312" w:hAnsi="仿宋" w:eastAsia="仿宋_GB2312"/>
                <w:sz w:val="24"/>
                <w:szCs w:val="32"/>
              </w:rPr>
            </w:pPr>
            <w:r>
              <w:rPr>
                <w:rFonts w:hint="eastAsia" w:ascii="仿宋_GB2312" w:hAnsi="仿宋" w:eastAsia="仿宋_GB2312"/>
                <w:sz w:val="24"/>
                <w:szCs w:val="32"/>
              </w:rPr>
              <w:t>可提供支持条件及指导措施</w:t>
            </w:r>
          </w:p>
        </w:tc>
        <w:tc>
          <w:tcPr>
            <w:tcW w:w="8266" w:type="dxa"/>
            <w:gridSpan w:val="5"/>
          </w:tcPr>
          <w:p w14:paraId="3939C6CE">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hint="eastAsia" w:ascii="仿宋_GB2312" w:hAnsi="仿宋" w:eastAsia="仿宋_GB2312"/>
                <w:sz w:val="24"/>
                <w:szCs w:val="32"/>
              </w:rPr>
            </w:pPr>
            <w:r>
              <w:rPr>
                <w:rFonts w:hint="eastAsia" w:ascii="仿宋_GB2312" w:hAnsi="仿宋" w:eastAsia="仿宋_GB2312"/>
                <w:sz w:val="24"/>
                <w:szCs w:val="32"/>
              </w:rPr>
              <w:t>可提供东灵山实践场地及相关资料支持，开展调查指导和必要培训；协助对接当地村民、村干部及相关管理人员进行访谈；根据实践安排协调交通、住宿和外业调查组织，并争取必要经费或物资支持，用于交通、住宿、保险及基础调查物资等支出。</w:t>
            </w:r>
            <w:bookmarkStart w:id="0" w:name="_GoBack"/>
            <w:bookmarkEnd w:id="0"/>
          </w:p>
        </w:tc>
      </w:tr>
      <w:tr w14:paraId="03271D5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707" w:type="dxa"/>
            <w:vAlign w:val="center"/>
          </w:tcPr>
          <w:p w14:paraId="1410E10A">
            <w:pPr>
              <w:spacing w:line="320" w:lineRule="exact"/>
              <w:jc w:val="center"/>
              <w:rPr>
                <w:rFonts w:ascii="仿宋_GB2312" w:hAnsi="仿宋" w:eastAsia="仿宋_GB2312"/>
                <w:sz w:val="24"/>
                <w:szCs w:val="32"/>
              </w:rPr>
            </w:pPr>
            <w:r>
              <w:rPr>
                <w:rFonts w:hint="eastAsia" w:ascii="仿宋_GB2312" w:hAnsi="仿宋" w:eastAsia="仿宋_GB2312"/>
                <w:sz w:val="24"/>
                <w:szCs w:val="32"/>
              </w:rPr>
              <w:t>安全风险及</w:t>
            </w:r>
            <w:r>
              <w:rPr>
                <w:rFonts w:hint="eastAsia" w:ascii="仿宋_GB2312" w:hAnsi="仿宋" w:eastAsia="仿宋_GB2312"/>
                <w:sz w:val="24"/>
                <w:szCs w:val="32"/>
              </w:rPr>
              <w:br w:type="textWrapping"/>
            </w:r>
            <w:r>
              <w:rPr>
                <w:rFonts w:hint="eastAsia" w:ascii="仿宋_GB2312" w:hAnsi="仿宋" w:eastAsia="仿宋_GB2312"/>
                <w:sz w:val="24"/>
                <w:szCs w:val="32"/>
              </w:rPr>
              <w:t>注意事项</w:t>
            </w:r>
          </w:p>
        </w:tc>
        <w:tc>
          <w:tcPr>
            <w:tcW w:w="8266" w:type="dxa"/>
            <w:gridSpan w:val="5"/>
          </w:tcPr>
          <w:p w14:paraId="5FE89739">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仿宋_GB2312" w:hAnsi="仿宋" w:eastAsia="仿宋_GB2312"/>
                <w:sz w:val="24"/>
                <w:szCs w:val="32"/>
              </w:rPr>
            </w:pPr>
          </w:p>
          <w:p w14:paraId="03E9DDFD">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ascii="仿宋_GB2312" w:hAnsi="仿宋" w:eastAsia="仿宋_GB2312"/>
                <w:sz w:val="24"/>
                <w:szCs w:val="32"/>
              </w:rPr>
            </w:pPr>
            <w:r>
              <w:rPr>
                <w:rFonts w:hint="eastAsia" w:ascii="仿宋_GB2312" w:hAnsi="仿宋" w:eastAsia="仿宋_GB2312"/>
                <w:sz w:val="24"/>
                <w:szCs w:val="32"/>
              </w:rPr>
              <w:t>本实践项目涉及山区野外调查，主要风险包括山地道路湿滑、坡陡碎石、天气突变、强对流降雨、体力消耗较大及通信条件受限等。实践期间须严格执行集体出行制度，禁止单独行动，提前关注天气变化，避开暴雨、大风、雷电等不利天气；开展坡面与沟道调查时应保持安全距离，不进入危险边坡和不稳定沟谷地段；统一配备必要的防滑、防晒、防雨及应急药品物资，做好人员签到、路线报备和保险保障；访谈活动须遵守当地管理要求，注意沟通方式，确保全过程安全、合规、有序。</w:t>
            </w:r>
          </w:p>
          <w:p w14:paraId="3ED1F070">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_GB2312" w:hAnsi="仿宋" w:eastAsia="仿宋_GB2312"/>
                <w:sz w:val="24"/>
                <w:szCs w:val="32"/>
              </w:rPr>
            </w:pPr>
          </w:p>
        </w:tc>
      </w:tr>
      <w:tr w14:paraId="79507043">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12" w:hRule="atLeast"/>
        </w:trPr>
        <w:tc>
          <w:tcPr>
            <w:tcW w:w="1707" w:type="dxa"/>
            <w:vAlign w:val="center"/>
          </w:tcPr>
          <w:p w14:paraId="42652B63">
            <w:pPr>
              <w:spacing w:line="520" w:lineRule="exact"/>
              <w:jc w:val="center"/>
              <w:rPr>
                <w:rFonts w:ascii="仿宋_GB2312" w:hAnsi="仿宋" w:eastAsia="仿宋_GB2312"/>
                <w:sz w:val="24"/>
                <w:szCs w:val="32"/>
              </w:rPr>
            </w:pPr>
            <w:r>
              <w:rPr>
                <w:rFonts w:hint="eastAsia" w:ascii="仿宋_GB2312" w:hAnsi="仿宋" w:eastAsia="仿宋_GB2312"/>
                <w:sz w:val="24"/>
                <w:szCs w:val="32"/>
              </w:rPr>
              <w:t>单位审核意见</w:t>
            </w:r>
          </w:p>
        </w:tc>
        <w:tc>
          <w:tcPr>
            <w:tcW w:w="8266" w:type="dxa"/>
            <w:gridSpan w:val="5"/>
          </w:tcPr>
          <w:p w14:paraId="7D57BA90">
            <w:pPr>
              <w:spacing w:line="520" w:lineRule="exact"/>
              <w:jc w:val="right"/>
              <w:rPr>
                <w:rFonts w:ascii="仿宋_GB2312" w:hAnsi="仿宋" w:eastAsia="仿宋_GB2312"/>
                <w:sz w:val="24"/>
                <w:szCs w:val="32"/>
              </w:rPr>
            </w:pPr>
          </w:p>
          <w:p w14:paraId="4E9CAC26">
            <w:pPr>
              <w:spacing w:line="520" w:lineRule="exact"/>
              <w:jc w:val="right"/>
              <w:rPr>
                <w:rFonts w:ascii="仿宋_GB2312" w:hAnsi="仿宋" w:eastAsia="仿宋_GB2312"/>
                <w:sz w:val="24"/>
                <w:szCs w:val="32"/>
              </w:rPr>
            </w:pPr>
          </w:p>
          <w:p w14:paraId="788A31D0">
            <w:pPr>
              <w:spacing w:line="520" w:lineRule="exact"/>
              <w:jc w:val="right"/>
              <w:rPr>
                <w:rFonts w:ascii="仿宋_GB2312" w:hAnsi="仿宋" w:eastAsia="仿宋_GB2312"/>
                <w:sz w:val="24"/>
                <w:szCs w:val="32"/>
              </w:rPr>
            </w:pPr>
            <w:r>
              <w:rPr>
                <w:rFonts w:ascii="仿宋_GB2312" w:hAnsi="仿宋" w:eastAsia="仿宋_GB2312"/>
                <w:sz w:val="24"/>
                <w:szCs w:val="32"/>
              </w:rPr>
              <w:t>负责人签字：__________________</w:t>
            </w:r>
          </w:p>
          <w:p w14:paraId="4721E719">
            <w:pPr>
              <w:spacing w:line="520" w:lineRule="exact"/>
              <w:jc w:val="right"/>
              <w:rPr>
                <w:rFonts w:ascii="仿宋_GB2312" w:hAnsi="仿宋" w:eastAsia="仿宋_GB2312"/>
                <w:sz w:val="24"/>
                <w:szCs w:val="32"/>
              </w:rPr>
            </w:pPr>
            <w:r>
              <w:rPr>
                <w:rFonts w:ascii="仿宋_GB2312" w:hAnsi="仿宋" w:eastAsia="仿宋_GB2312"/>
                <w:sz w:val="24"/>
                <w:szCs w:val="32"/>
              </w:rPr>
              <w:t>单位盖章：__________________</w:t>
            </w:r>
          </w:p>
          <w:p w14:paraId="3E3E5BB1">
            <w:pPr>
              <w:spacing w:line="520" w:lineRule="exact"/>
              <w:jc w:val="right"/>
              <w:rPr>
                <w:rFonts w:ascii="仿宋_GB2312" w:hAnsi="仿宋" w:eastAsia="仿宋_GB2312"/>
                <w:sz w:val="24"/>
                <w:szCs w:val="32"/>
              </w:rPr>
            </w:pPr>
            <w:r>
              <w:rPr>
                <w:rFonts w:ascii="仿宋_GB2312" w:hAnsi="仿宋" w:eastAsia="仿宋_GB2312"/>
                <w:sz w:val="24"/>
                <w:szCs w:val="32"/>
              </w:rPr>
              <w:t>_______年_______月_______日</w:t>
            </w:r>
          </w:p>
        </w:tc>
      </w:tr>
    </w:tbl>
    <w:p w14:paraId="1DEFA7D0">
      <w:pPr>
        <w:spacing w:line="520" w:lineRule="exact"/>
        <w:rPr>
          <w:rFonts w:ascii="仿宋_GB2312" w:hAnsi="仿宋" w:eastAsia="仿宋_GB2312"/>
          <w:sz w:val="24"/>
          <w:szCs w:val="24"/>
        </w:rPr>
      </w:pP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8ABA68"/>
    <w:multiLevelType w:val="singleLevel"/>
    <w:tmpl w:val="368ABA68"/>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B24"/>
    <w:rsid w:val="000427B9"/>
    <w:rsid w:val="00052C42"/>
    <w:rsid w:val="00086CEE"/>
    <w:rsid w:val="000E0716"/>
    <w:rsid w:val="000F2442"/>
    <w:rsid w:val="00112A51"/>
    <w:rsid w:val="00142DEB"/>
    <w:rsid w:val="00165469"/>
    <w:rsid w:val="001A3783"/>
    <w:rsid w:val="001B481E"/>
    <w:rsid w:val="001E1D71"/>
    <w:rsid w:val="00207221"/>
    <w:rsid w:val="002241D7"/>
    <w:rsid w:val="00252C34"/>
    <w:rsid w:val="002920D1"/>
    <w:rsid w:val="002A469F"/>
    <w:rsid w:val="002A507A"/>
    <w:rsid w:val="002D2E16"/>
    <w:rsid w:val="0036705B"/>
    <w:rsid w:val="00401166"/>
    <w:rsid w:val="00441B25"/>
    <w:rsid w:val="0045787C"/>
    <w:rsid w:val="00472430"/>
    <w:rsid w:val="00475BC1"/>
    <w:rsid w:val="004A3DAE"/>
    <w:rsid w:val="004E44E4"/>
    <w:rsid w:val="004F6B77"/>
    <w:rsid w:val="005452D8"/>
    <w:rsid w:val="00556FEE"/>
    <w:rsid w:val="005769DA"/>
    <w:rsid w:val="005C42BF"/>
    <w:rsid w:val="005E4840"/>
    <w:rsid w:val="00614C95"/>
    <w:rsid w:val="00624771"/>
    <w:rsid w:val="0063761D"/>
    <w:rsid w:val="006721ED"/>
    <w:rsid w:val="006B3469"/>
    <w:rsid w:val="006C3047"/>
    <w:rsid w:val="006F4BF0"/>
    <w:rsid w:val="0073288B"/>
    <w:rsid w:val="00745977"/>
    <w:rsid w:val="0075577F"/>
    <w:rsid w:val="00760896"/>
    <w:rsid w:val="007C539E"/>
    <w:rsid w:val="007D1693"/>
    <w:rsid w:val="00820302"/>
    <w:rsid w:val="00826B65"/>
    <w:rsid w:val="00830928"/>
    <w:rsid w:val="00851027"/>
    <w:rsid w:val="00891E92"/>
    <w:rsid w:val="008A5789"/>
    <w:rsid w:val="008C44F2"/>
    <w:rsid w:val="0090336C"/>
    <w:rsid w:val="0094783A"/>
    <w:rsid w:val="009710E3"/>
    <w:rsid w:val="009C41BF"/>
    <w:rsid w:val="009E02AA"/>
    <w:rsid w:val="009E1603"/>
    <w:rsid w:val="009E6A62"/>
    <w:rsid w:val="00A103EA"/>
    <w:rsid w:val="00A22C03"/>
    <w:rsid w:val="00A43745"/>
    <w:rsid w:val="00A672DB"/>
    <w:rsid w:val="00A82E61"/>
    <w:rsid w:val="00A846D3"/>
    <w:rsid w:val="00AD37AB"/>
    <w:rsid w:val="00B27B48"/>
    <w:rsid w:val="00B32CC9"/>
    <w:rsid w:val="00B64CD9"/>
    <w:rsid w:val="00BA648C"/>
    <w:rsid w:val="00BB3B1A"/>
    <w:rsid w:val="00BE5C07"/>
    <w:rsid w:val="00C31285"/>
    <w:rsid w:val="00CB7B24"/>
    <w:rsid w:val="00DC1250"/>
    <w:rsid w:val="00DD48AB"/>
    <w:rsid w:val="00DD66A8"/>
    <w:rsid w:val="00E151A4"/>
    <w:rsid w:val="00E759FC"/>
    <w:rsid w:val="00EB0965"/>
    <w:rsid w:val="00F413E7"/>
    <w:rsid w:val="00F96935"/>
    <w:rsid w:val="00FB021B"/>
    <w:rsid w:val="00FB10BD"/>
    <w:rsid w:val="00FD444F"/>
    <w:rsid w:val="00FE612A"/>
    <w:rsid w:val="0EF90EF5"/>
    <w:rsid w:val="18406E7F"/>
    <w:rsid w:val="18597D7D"/>
    <w:rsid w:val="22902A77"/>
    <w:rsid w:val="282E372B"/>
    <w:rsid w:val="291B4ED7"/>
    <w:rsid w:val="2FA56339"/>
    <w:rsid w:val="364C2115"/>
    <w:rsid w:val="3C113A08"/>
    <w:rsid w:val="3D831573"/>
    <w:rsid w:val="427C6F3E"/>
    <w:rsid w:val="43710E6C"/>
    <w:rsid w:val="43822092"/>
    <w:rsid w:val="463C0138"/>
    <w:rsid w:val="48536C35"/>
    <w:rsid w:val="566740A5"/>
    <w:rsid w:val="5B8033EC"/>
    <w:rsid w:val="64FD3B03"/>
    <w:rsid w:val="68A50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styleId="9">
    <w:name w:val="Emphasis"/>
    <w:basedOn w:val="7"/>
    <w:qFormat/>
    <w:uiPriority w:val="20"/>
    <w:rPr>
      <w:i/>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批注框文本 字符"/>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F8679-494D-4CAD-8393-1A24E2DC9F1D}">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2</Pages>
  <Words>1984</Words>
  <Characters>2096</Characters>
  <Lines>15</Lines>
  <Paragraphs>4</Paragraphs>
  <TotalTime>5</TotalTime>
  <ScaleCrop>false</ScaleCrop>
  <LinksUpToDate>false</LinksUpToDate>
  <CharactersWithSpaces>2105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2026-04-21T09:21:00Z</dcterms:created>
  <dc:creator>Microsoft</dc:creator>
  <cp:lastModifiedBy>李世鑫</cp:lastModifiedBy>
  <cp:lastPrinted>2017-05-24T18:56:00Z</cp:lastPrinted>
  <dcterms:modified xsi:type="dcterms:W3CDTF">2026-05-12T01:10:36Z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1DD74BCDDB0944CFB861B1A2A8FA032E_13</vt:lpwstr>
  </property>
  <property fmtid="{D5CDD505-2E9C-101B-9397-08002B2CF9AE}" pid="4" name="KSOTemplateDocerSaveRecord">
    <vt:lpwstr>eyJoZGlkIjoiYzA4N2Y4YzI4NGZkM2RiY2NlMTUwNmQ1ZWIxNTY5MTMiLCJ1c2VySWQiOiIzODk5OTgyNjkifQ==</vt:lpwstr>
  </property>
</Properties>
</file>