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4E8C4">
      <w:pPr>
        <w:tabs>
          <w:tab w:val="center" w:pos="4252"/>
        </w:tabs>
        <w:snapToGrid w:val="0"/>
        <w:spacing w:line="520" w:lineRule="exact"/>
        <w:ind w:right="-340" w:rightChars="-162"/>
        <w:jc w:val="center"/>
        <w:rPr>
          <w:rFonts w:hint="eastAsia" w:ascii="仿宋_GB2312" w:hAnsi="仿宋" w:eastAsia="仿宋_GB2312"/>
          <w:b/>
          <w:sz w:val="32"/>
          <w:szCs w:val="32"/>
        </w:rPr>
      </w:pPr>
      <w:r>
        <w:rPr>
          <w:rFonts w:hint="eastAsia" w:ascii="仿宋_GB2312" w:hAnsi="仿宋" w:eastAsia="仿宋_GB2312"/>
          <w:b/>
          <w:sz w:val="32"/>
          <w:szCs w:val="32"/>
        </w:rPr>
        <w:t>2026年暑期社会实践“揭榜挂帅”榜单征集表</w:t>
      </w:r>
    </w:p>
    <w:tbl>
      <w:tblPr>
        <w:tblStyle w:val="6"/>
        <w:tblpPr w:leftFromText="180" w:rightFromText="180" w:vertAnchor="text" w:horzAnchor="margin" w:tblpXSpec="center" w:tblpY="317"/>
        <w:tblW w:w="10100" w:type="dxa"/>
        <w:tblInd w:w="0" w:type="dxa"/>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Layout w:type="fixed"/>
        <w:tblCellMar>
          <w:top w:w="0" w:type="dxa"/>
          <w:left w:w="108" w:type="dxa"/>
          <w:bottom w:w="0" w:type="dxa"/>
          <w:right w:w="108" w:type="dxa"/>
        </w:tblCellMar>
      </w:tblPr>
      <w:tblGrid>
        <w:gridCol w:w="1834"/>
        <w:gridCol w:w="1393"/>
        <w:gridCol w:w="1460"/>
        <w:gridCol w:w="1212"/>
        <w:gridCol w:w="1981"/>
        <w:gridCol w:w="2220"/>
      </w:tblGrid>
      <w:tr w14:paraId="13113681">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609289F5">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榜单名称</w:t>
            </w:r>
          </w:p>
        </w:tc>
        <w:tc>
          <w:tcPr>
            <w:tcW w:w="8266" w:type="dxa"/>
            <w:gridSpan w:val="5"/>
            <w:vAlign w:val="center"/>
          </w:tcPr>
          <w:p w14:paraId="70C36547">
            <w:pPr>
              <w:spacing w:line="320" w:lineRule="exact"/>
              <w:ind w:firstLine="352" w:firstLineChars="147"/>
              <w:jc w:val="center"/>
              <w:rPr>
                <w:rFonts w:hint="eastAsia" w:ascii="仿宋_GB2312" w:hAnsi="仿宋" w:eastAsia="仿宋_GB2312"/>
                <w:sz w:val="24"/>
                <w:szCs w:val="32"/>
              </w:rPr>
            </w:pPr>
            <w:r>
              <w:rPr>
                <w:rFonts w:hint="eastAsia" w:ascii="仿宋_GB2312" w:hAnsi="仿宋" w:eastAsia="仿宋_GB2312"/>
                <w:sz w:val="24"/>
                <w:szCs w:val="32"/>
              </w:rPr>
              <w:t>怀柔大榛峪村科普助农风貌焕新综合实践</w:t>
            </w:r>
          </w:p>
        </w:tc>
      </w:tr>
      <w:tr w14:paraId="64065360">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22C77975">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出题单位</w:t>
            </w:r>
          </w:p>
        </w:tc>
        <w:tc>
          <w:tcPr>
            <w:tcW w:w="8266" w:type="dxa"/>
            <w:gridSpan w:val="5"/>
            <w:vAlign w:val="center"/>
          </w:tcPr>
          <w:p w14:paraId="0076C350">
            <w:pPr>
              <w:spacing w:line="320" w:lineRule="exact"/>
              <w:ind w:firstLine="352" w:firstLineChars="147"/>
              <w:jc w:val="center"/>
              <w:rPr>
                <w:rFonts w:hint="eastAsia" w:ascii="仿宋_GB2312" w:hAnsi="仿宋" w:eastAsia="仿宋_GB2312"/>
                <w:sz w:val="24"/>
                <w:szCs w:val="32"/>
              </w:rPr>
            </w:pPr>
            <w:r>
              <w:rPr>
                <w:rFonts w:hint="eastAsia" w:ascii="仿宋_GB2312" w:hAnsi="仿宋" w:eastAsia="仿宋_GB2312"/>
                <w:sz w:val="24"/>
                <w:szCs w:val="32"/>
              </w:rPr>
              <w:t>北京林业大学</w:t>
            </w:r>
          </w:p>
        </w:tc>
      </w:tr>
      <w:tr w14:paraId="0440CD84">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4D219C27">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是否联合校外单位出题</w:t>
            </w:r>
          </w:p>
        </w:tc>
        <w:tc>
          <w:tcPr>
            <w:tcW w:w="4065" w:type="dxa"/>
            <w:gridSpan w:val="3"/>
            <w:vAlign w:val="center"/>
          </w:tcPr>
          <w:p w14:paraId="48468463">
            <w:pPr>
              <w:spacing w:line="320" w:lineRule="exact"/>
              <w:ind w:firstLine="352" w:firstLineChars="147"/>
              <w:jc w:val="center"/>
              <w:rPr>
                <w:rFonts w:hint="eastAsia" w:ascii="仿宋_GB2312" w:hAnsi="仿宋"/>
                <w:sz w:val="24"/>
                <w:szCs w:val="32"/>
              </w:rPr>
            </w:pPr>
            <w:r>
              <w:rPr>
                <w:rFonts w:hint="eastAsia" w:ascii="仿宋_GB2312" w:hAnsi="仿宋" w:eastAsia="仿宋_GB2312"/>
                <w:sz w:val="24"/>
                <w:szCs w:val="32"/>
              </w:rPr>
              <w:t>☑是      □否</w:t>
            </w:r>
          </w:p>
        </w:tc>
        <w:tc>
          <w:tcPr>
            <w:tcW w:w="4201" w:type="dxa"/>
            <w:gridSpan w:val="2"/>
            <w:vAlign w:val="center"/>
          </w:tcPr>
          <w:p w14:paraId="53654A05">
            <w:pPr>
              <w:spacing w:line="320" w:lineRule="exact"/>
              <w:ind w:firstLine="352" w:firstLineChars="147"/>
              <w:jc w:val="center"/>
              <w:rPr>
                <w:rFonts w:hint="eastAsia" w:ascii="仿宋_GB2312" w:hAnsi="仿宋" w:eastAsia="仿宋_GB2312"/>
                <w:sz w:val="24"/>
                <w:szCs w:val="32"/>
              </w:rPr>
            </w:pPr>
            <w:r>
              <w:rPr>
                <w:rFonts w:hint="eastAsia" w:ascii="仿宋_GB2312" w:hAnsi="仿宋" w:eastAsia="仿宋_GB2312"/>
                <w:sz w:val="24"/>
                <w:szCs w:val="32"/>
              </w:rPr>
              <w:t>怀柔区渤海镇大榛峪村</w:t>
            </w:r>
          </w:p>
        </w:tc>
      </w:tr>
      <w:tr w14:paraId="28908A29">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1664A0F2">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建议参与专业</w:t>
            </w:r>
          </w:p>
        </w:tc>
        <w:tc>
          <w:tcPr>
            <w:tcW w:w="4065" w:type="dxa"/>
            <w:gridSpan w:val="3"/>
            <w:vAlign w:val="center"/>
          </w:tcPr>
          <w:p w14:paraId="2D7F3297">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园林、农林经济管理、环境设计、森林康养、野生动物与自然保护区管理</w:t>
            </w:r>
          </w:p>
        </w:tc>
        <w:tc>
          <w:tcPr>
            <w:tcW w:w="1981" w:type="dxa"/>
            <w:vAlign w:val="center"/>
          </w:tcPr>
          <w:p w14:paraId="03C49A0F">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建议实践日期</w:t>
            </w:r>
          </w:p>
        </w:tc>
        <w:tc>
          <w:tcPr>
            <w:tcW w:w="2220" w:type="dxa"/>
            <w:vAlign w:val="center"/>
          </w:tcPr>
          <w:p w14:paraId="2856E4B4">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2026年7月-9月</w:t>
            </w:r>
          </w:p>
        </w:tc>
      </w:tr>
      <w:tr w14:paraId="1032B2EE">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4C110649">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建议实践地点</w:t>
            </w:r>
          </w:p>
        </w:tc>
        <w:tc>
          <w:tcPr>
            <w:tcW w:w="4065" w:type="dxa"/>
            <w:gridSpan w:val="3"/>
            <w:vAlign w:val="center"/>
          </w:tcPr>
          <w:p w14:paraId="442AEB9F">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北京市怀柔区渤海镇大榛峪村</w:t>
            </w:r>
          </w:p>
        </w:tc>
        <w:tc>
          <w:tcPr>
            <w:tcW w:w="1981" w:type="dxa"/>
            <w:vAlign w:val="center"/>
          </w:tcPr>
          <w:p w14:paraId="3D9E0914">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建议团队人数</w:t>
            </w:r>
          </w:p>
        </w:tc>
        <w:tc>
          <w:tcPr>
            <w:tcW w:w="2220" w:type="dxa"/>
            <w:vAlign w:val="center"/>
          </w:tcPr>
          <w:p w14:paraId="72CF27B1">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10</w:t>
            </w:r>
          </w:p>
        </w:tc>
      </w:tr>
      <w:tr w14:paraId="5958729B">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5B9AF7A8">
            <w:pPr>
              <w:spacing w:before="60" w:after="60" w:line="320" w:lineRule="exact"/>
              <w:jc w:val="center"/>
              <w:rPr>
                <w:rFonts w:hint="eastAsia" w:ascii="仿宋_GB2312" w:hAnsi="仿宋" w:eastAsia="仿宋_GB2312"/>
                <w:sz w:val="24"/>
                <w:szCs w:val="32"/>
              </w:rPr>
            </w:pPr>
            <w:r>
              <w:rPr>
                <w:rFonts w:ascii="仿宋_GB2312" w:hAnsi="仿宋" w:eastAsia="仿宋_GB2312"/>
                <w:sz w:val="24"/>
                <w:szCs w:val="32"/>
              </w:rPr>
              <w:t>涉及保密事项</w:t>
            </w:r>
          </w:p>
        </w:tc>
        <w:tc>
          <w:tcPr>
            <w:tcW w:w="4065" w:type="dxa"/>
            <w:gridSpan w:val="3"/>
            <w:vAlign w:val="center"/>
          </w:tcPr>
          <w:p w14:paraId="32BF4E59">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□是（请简要说明） ☑否</w:t>
            </w:r>
          </w:p>
        </w:tc>
        <w:tc>
          <w:tcPr>
            <w:tcW w:w="1981" w:type="dxa"/>
            <w:vAlign w:val="center"/>
          </w:tcPr>
          <w:p w14:paraId="2E405F68">
            <w:pPr>
              <w:spacing w:line="320" w:lineRule="exact"/>
              <w:jc w:val="center"/>
              <w:rPr>
                <w:rFonts w:hint="eastAsia" w:ascii="仿宋_GB2312" w:hAnsi="仿宋" w:eastAsia="仿宋_GB2312"/>
                <w:sz w:val="24"/>
                <w:szCs w:val="32"/>
              </w:rPr>
            </w:pPr>
            <w:r>
              <w:rPr>
                <w:rFonts w:ascii="仿宋_GB2312" w:hAnsi="仿宋" w:eastAsia="仿宋_GB2312"/>
                <w:sz w:val="22"/>
                <w:szCs w:val="28"/>
              </w:rPr>
              <w:t>预期</w:t>
            </w:r>
            <w:r>
              <w:rPr>
                <w:rFonts w:hint="eastAsia" w:ascii="仿宋_GB2312" w:hAnsi="仿宋" w:eastAsia="仿宋_GB2312"/>
                <w:sz w:val="22"/>
                <w:szCs w:val="28"/>
              </w:rPr>
              <w:t>匹配</w:t>
            </w:r>
            <w:r>
              <w:rPr>
                <w:rFonts w:ascii="仿宋_GB2312" w:hAnsi="仿宋" w:eastAsia="仿宋_GB2312"/>
                <w:sz w:val="22"/>
                <w:szCs w:val="28"/>
              </w:rPr>
              <w:t>团队数量</w:t>
            </w:r>
          </w:p>
        </w:tc>
        <w:tc>
          <w:tcPr>
            <w:tcW w:w="2220" w:type="dxa"/>
            <w:vAlign w:val="center"/>
          </w:tcPr>
          <w:p w14:paraId="42FF62AE">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3</w:t>
            </w:r>
          </w:p>
        </w:tc>
      </w:tr>
      <w:tr w14:paraId="18E1BD8D">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Merge w:val="restart"/>
            <w:vAlign w:val="center"/>
          </w:tcPr>
          <w:p w14:paraId="65DA6760">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highlight w:val="none"/>
              </w:rPr>
              <w:t>联系人</w:t>
            </w:r>
          </w:p>
        </w:tc>
        <w:tc>
          <w:tcPr>
            <w:tcW w:w="1393" w:type="dxa"/>
            <w:vAlign w:val="center"/>
          </w:tcPr>
          <w:p w14:paraId="5F068A8E">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姓  名</w:t>
            </w:r>
          </w:p>
        </w:tc>
        <w:tc>
          <w:tcPr>
            <w:tcW w:w="1460" w:type="dxa"/>
            <w:vAlign w:val="center"/>
          </w:tcPr>
          <w:p w14:paraId="13988018">
            <w:pPr>
              <w:spacing w:before="60" w:after="60" w:line="320" w:lineRule="exact"/>
              <w:jc w:val="center"/>
              <w:rPr>
                <w:rFonts w:hint="eastAsia" w:ascii="仿宋_GB2312" w:hAnsi="仿宋" w:eastAsia="仿宋_GB2312"/>
                <w:spacing w:val="-34"/>
                <w:sz w:val="24"/>
                <w:szCs w:val="32"/>
                <w:lang w:val="en-US" w:eastAsia="zh-CN"/>
              </w:rPr>
            </w:pPr>
            <w:r>
              <w:rPr>
                <w:rFonts w:hint="eastAsia" w:ascii="仿宋_GB2312" w:hAnsi="仿宋" w:eastAsia="仿宋_GB2312"/>
                <w:spacing w:val="-34"/>
                <w:sz w:val="24"/>
                <w:szCs w:val="32"/>
                <w:lang w:val="en-US" w:eastAsia="zh-CN"/>
              </w:rPr>
              <w:t>陈希宁</w:t>
            </w:r>
          </w:p>
        </w:tc>
        <w:tc>
          <w:tcPr>
            <w:tcW w:w="1212" w:type="dxa"/>
            <w:vAlign w:val="center"/>
          </w:tcPr>
          <w:p w14:paraId="645696E9">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联系电话</w:t>
            </w:r>
          </w:p>
        </w:tc>
        <w:tc>
          <w:tcPr>
            <w:tcW w:w="4201" w:type="dxa"/>
            <w:gridSpan w:val="2"/>
            <w:vAlign w:val="center"/>
          </w:tcPr>
          <w:p w14:paraId="15BBA58D">
            <w:pPr>
              <w:spacing w:line="320" w:lineRule="exact"/>
              <w:jc w:val="center"/>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010-62336731</w:t>
            </w:r>
          </w:p>
        </w:tc>
      </w:tr>
      <w:tr w14:paraId="4596C9D8">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Merge w:val="continue"/>
            <w:vAlign w:val="center"/>
          </w:tcPr>
          <w:p w14:paraId="1FD03E0B">
            <w:pPr>
              <w:spacing w:before="60" w:after="60" w:line="320" w:lineRule="exact"/>
              <w:jc w:val="center"/>
              <w:rPr>
                <w:rFonts w:hint="eastAsia" w:ascii="仿宋_GB2312" w:hAnsi="仿宋" w:eastAsia="仿宋_GB2312"/>
                <w:sz w:val="24"/>
                <w:szCs w:val="32"/>
              </w:rPr>
            </w:pPr>
          </w:p>
        </w:tc>
        <w:tc>
          <w:tcPr>
            <w:tcW w:w="1393" w:type="dxa"/>
            <w:vAlign w:val="center"/>
          </w:tcPr>
          <w:p w14:paraId="0674B133">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职务/职称</w:t>
            </w:r>
          </w:p>
        </w:tc>
        <w:tc>
          <w:tcPr>
            <w:tcW w:w="1460" w:type="dxa"/>
            <w:vAlign w:val="center"/>
          </w:tcPr>
          <w:p w14:paraId="1AE15B77">
            <w:pPr>
              <w:spacing w:before="60" w:after="60" w:line="320" w:lineRule="exact"/>
              <w:jc w:val="center"/>
              <w:rPr>
                <w:rFonts w:hint="default" w:ascii="仿宋_GB2312" w:hAnsi="仿宋" w:eastAsia="仿宋_GB2312"/>
                <w:spacing w:val="-34"/>
                <w:sz w:val="24"/>
                <w:szCs w:val="32"/>
                <w:lang w:val="en-US" w:eastAsia="zh-CN"/>
              </w:rPr>
            </w:pPr>
            <w:r>
              <w:rPr>
                <w:rFonts w:hint="eastAsia" w:ascii="仿宋_GB2312" w:hAnsi="仿宋" w:eastAsia="仿宋_GB2312"/>
                <w:spacing w:val="-34"/>
                <w:sz w:val="24"/>
                <w:szCs w:val="32"/>
                <w:lang w:val="en-US" w:eastAsia="zh-CN"/>
              </w:rPr>
              <w:t>——</w:t>
            </w:r>
          </w:p>
        </w:tc>
        <w:tc>
          <w:tcPr>
            <w:tcW w:w="1212" w:type="dxa"/>
            <w:vAlign w:val="center"/>
          </w:tcPr>
          <w:p w14:paraId="2D7CFBAC">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电子邮箱</w:t>
            </w:r>
          </w:p>
        </w:tc>
        <w:tc>
          <w:tcPr>
            <w:tcW w:w="4201" w:type="dxa"/>
            <w:gridSpan w:val="2"/>
            <w:vAlign w:val="center"/>
          </w:tcPr>
          <w:p w14:paraId="00B17D88">
            <w:pPr>
              <w:spacing w:line="320" w:lineRule="exact"/>
              <w:jc w:val="center"/>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w:t>
            </w:r>
          </w:p>
        </w:tc>
      </w:tr>
      <w:tr w14:paraId="460FD43A">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545" w:hRule="atLeast"/>
        </w:trPr>
        <w:tc>
          <w:tcPr>
            <w:tcW w:w="1834" w:type="dxa"/>
            <w:vAlign w:val="center"/>
          </w:tcPr>
          <w:p w14:paraId="22CEB02E">
            <w:pPr>
              <w:spacing w:line="520" w:lineRule="exact"/>
              <w:jc w:val="center"/>
              <w:rPr>
                <w:rFonts w:hint="eastAsia" w:ascii="仿宋_GB2312" w:hAnsi="仿宋" w:eastAsia="仿宋_GB2312"/>
                <w:sz w:val="24"/>
                <w:szCs w:val="32"/>
              </w:rPr>
            </w:pPr>
            <w:r>
              <w:rPr>
                <w:rFonts w:hint="eastAsia" w:ascii="仿宋_GB2312" w:hAnsi="仿宋" w:eastAsia="仿宋_GB2312"/>
                <w:sz w:val="24"/>
                <w:szCs w:val="32"/>
              </w:rPr>
              <w:t>题目介绍</w:t>
            </w:r>
          </w:p>
          <w:p w14:paraId="73ED5BD9">
            <w:pPr>
              <w:spacing w:line="520" w:lineRule="exact"/>
              <w:jc w:val="center"/>
              <w:rPr>
                <w:rFonts w:hint="eastAsia" w:ascii="仿宋_GB2312" w:hAnsi="仿宋" w:eastAsia="仿宋_GB2312"/>
                <w:sz w:val="24"/>
                <w:szCs w:val="32"/>
              </w:rPr>
            </w:pPr>
            <w:r>
              <w:rPr>
                <w:rFonts w:hint="eastAsia" w:ascii="仿宋_GB2312" w:hAnsi="仿宋" w:eastAsia="仿宋_GB2312"/>
                <w:sz w:val="18"/>
                <w:szCs w:val="21"/>
              </w:rPr>
              <w:t>（背景与现实需求）</w:t>
            </w:r>
          </w:p>
        </w:tc>
        <w:tc>
          <w:tcPr>
            <w:tcW w:w="8266" w:type="dxa"/>
            <w:gridSpan w:val="5"/>
          </w:tcPr>
          <w:p w14:paraId="0BAE0ABA">
            <w:pPr>
              <w:keepNext w:val="0"/>
              <w:keepLines w:val="0"/>
              <w:pageBreakBefore w:val="0"/>
              <w:kinsoku/>
              <w:wordWrap/>
              <w:overflowPunct/>
              <w:topLinePunct w:val="0"/>
              <w:autoSpaceDE/>
              <w:autoSpaceDN/>
              <w:bidi w:val="0"/>
              <w:adjustRightInd/>
              <w:snapToGrid/>
              <w:spacing w:line="320" w:lineRule="exact"/>
              <w:ind w:firstLine="480" w:firstLineChars="200"/>
              <w:textAlignment w:val="auto"/>
              <w:rPr>
                <w:rFonts w:hint="eastAsia" w:ascii="仿宋_GB2312" w:hAnsi="仿宋" w:eastAsia="仿宋_GB2312"/>
                <w:sz w:val="24"/>
                <w:szCs w:val="32"/>
              </w:rPr>
            </w:pPr>
            <w:r>
              <w:rPr>
                <w:rFonts w:hint="eastAsia" w:ascii="仿宋_GB2312" w:hAnsi="仿宋" w:eastAsia="仿宋_GB2312"/>
                <w:sz w:val="24"/>
                <w:szCs w:val="32"/>
              </w:rPr>
              <w:t>大榛峪村坐拥8.5公里保存完好的明长城、89%森林覆盖率的优质生态本底与响水湖景区资源，兼具平北抗日根据地红色底蕴，2024年获评北京市乡村旅游重点村镇，文旅与特色农业发展基础扎实。当前村内存在轻量化科普内容不足、林下经济附加值不高、乡村文化风貌辨识度不强、优质森林资源的休闲康养价值未充分释放等问题，缺乏可直接落地运营的农旅融合产品，无法匹配城市近郊休闲度假的市场需求。本项目依托北京林业大学专业优势，以“落地服务、实效惠民”为核心，聚焦科普惠民、产业助农、风貌焕新三大实践方向，同时将森林康养深度融入乡村产业升级，为村庄打造可直接复用、快速见效的实践成果，以青春力量助力乡村振兴高质量发展。</w:t>
            </w:r>
            <w:bookmarkStart w:id="0" w:name="_GoBack"/>
            <w:bookmarkEnd w:id="0"/>
          </w:p>
        </w:tc>
      </w:tr>
      <w:tr w14:paraId="7C65E38C">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684D99D9">
            <w:pPr>
              <w:spacing w:line="520" w:lineRule="exact"/>
              <w:jc w:val="center"/>
              <w:rPr>
                <w:rFonts w:hint="eastAsia" w:ascii="仿宋_GB2312" w:hAnsi="仿宋" w:eastAsia="仿宋_GB2312"/>
                <w:sz w:val="24"/>
                <w:szCs w:val="32"/>
              </w:rPr>
            </w:pPr>
            <w:r>
              <w:rPr>
                <w:rFonts w:hint="eastAsia" w:ascii="仿宋_GB2312" w:hAnsi="仿宋" w:eastAsia="仿宋_GB2312"/>
                <w:sz w:val="24"/>
                <w:szCs w:val="32"/>
              </w:rPr>
              <w:t>主要任务内容</w:t>
            </w:r>
          </w:p>
        </w:tc>
        <w:tc>
          <w:tcPr>
            <w:tcW w:w="8266" w:type="dxa"/>
            <w:gridSpan w:val="5"/>
          </w:tcPr>
          <w:p w14:paraId="377282FC">
            <w:pPr>
              <w:keepNext w:val="0"/>
              <w:keepLines w:val="0"/>
              <w:pageBreakBefore w:val="0"/>
              <w:widowControl/>
              <w:kinsoku/>
              <w:wordWrap/>
              <w:overflowPunct/>
              <w:topLinePunct w:val="0"/>
              <w:autoSpaceDE/>
              <w:autoSpaceDN/>
              <w:bidi w:val="0"/>
              <w:adjustRightInd/>
              <w:snapToGrid/>
              <w:spacing w:line="320" w:lineRule="exact"/>
              <w:ind w:firstLine="480" w:firstLineChars="200"/>
              <w:textAlignment w:val="auto"/>
              <w:rPr>
                <w:rFonts w:hint="eastAsia" w:ascii="仿宋_GB2312" w:hAnsi="仿宋" w:eastAsia="仿宋_GB2312"/>
                <w:sz w:val="24"/>
                <w:szCs w:val="32"/>
              </w:rPr>
            </w:pPr>
            <w:r>
              <w:rPr>
                <w:rFonts w:hint="eastAsia" w:ascii="仿宋_GB2312" w:hAnsi="仿宋" w:eastAsia="仿宋_GB2312"/>
                <w:sz w:val="24"/>
                <w:szCs w:val="32"/>
              </w:rPr>
              <w:t>本项目聚焦大榛峪村乡村振兴核心需求，围绕科普惠民、产业助农、风貌焕新三大方向打造综合实践项目，下设3个协同联动的任务模块，实现成果互通、同步推进，既为村庄补齐科普服务短板、拓宽产业增收路径、提升乡村文化风貌辨识度，全方位赋能村域农文旅融合高质量发展，也实现高校专业实践与基层发展需求的精准对接，以青春力量助力乡村振兴，具体内容如下：</w:t>
            </w:r>
          </w:p>
          <w:p w14:paraId="7FB84D0E">
            <w:pPr>
              <w:keepNext w:val="0"/>
              <w:keepLines w:val="0"/>
              <w:pageBreakBefore w:val="0"/>
              <w:widowControl/>
              <w:kinsoku/>
              <w:wordWrap/>
              <w:overflowPunct/>
              <w:topLinePunct w:val="0"/>
              <w:autoSpaceDE/>
              <w:autoSpaceDN/>
              <w:bidi w:val="0"/>
              <w:adjustRightInd/>
              <w:snapToGrid/>
              <w:spacing w:line="320" w:lineRule="exact"/>
              <w:ind w:firstLine="482" w:firstLineChars="200"/>
              <w:textAlignment w:val="auto"/>
              <w:rPr>
                <w:rFonts w:hint="eastAsia" w:ascii="仿宋_GB2312" w:hAnsi="仿宋" w:eastAsia="仿宋_GB2312"/>
                <w:b/>
                <w:bCs/>
                <w:sz w:val="24"/>
                <w:szCs w:val="32"/>
              </w:rPr>
            </w:pPr>
            <w:r>
              <w:rPr>
                <w:rFonts w:hint="eastAsia" w:ascii="仿宋_GB2312" w:hAnsi="仿宋" w:eastAsia="仿宋_GB2312"/>
                <w:b/>
                <w:bCs/>
                <w:sz w:val="24"/>
                <w:szCs w:val="32"/>
              </w:rPr>
              <w:t>专题一：科普惠民全场景科普内容制作与落地宣讲</w:t>
            </w:r>
          </w:p>
          <w:p w14:paraId="74D0DBC9">
            <w:pPr>
              <w:keepNext w:val="0"/>
              <w:keepLines w:val="0"/>
              <w:pageBreakBefore w:val="0"/>
              <w:widowControl/>
              <w:kinsoku/>
              <w:wordWrap/>
              <w:overflowPunct/>
              <w:topLinePunct w:val="0"/>
              <w:autoSpaceDE/>
              <w:autoSpaceDN/>
              <w:bidi w:val="0"/>
              <w:adjustRightInd/>
              <w:snapToGrid/>
              <w:spacing w:line="320" w:lineRule="exact"/>
              <w:ind w:firstLine="480" w:firstLineChars="200"/>
              <w:textAlignment w:val="auto"/>
              <w:rPr>
                <w:rFonts w:hint="eastAsia" w:ascii="仿宋_GB2312" w:hAnsi="仿宋" w:eastAsia="仿宋_GB2312"/>
                <w:sz w:val="24"/>
                <w:szCs w:val="32"/>
              </w:rPr>
            </w:pPr>
            <w:r>
              <w:rPr>
                <w:rFonts w:ascii="仿宋_GB2312" w:hAnsi="仿宋" w:eastAsia="仿宋_GB2312"/>
                <w:sz w:val="24"/>
                <w:szCs w:val="32"/>
              </w:rPr>
              <w:t>前期</w:t>
            </w:r>
            <w:r>
              <w:rPr>
                <w:rFonts w:hint="eastAsia" w:ascii="仿宋_GB2312" w:hAnsi="仿宋" w:eastAsia="仿宋_GB2312"/>
                <w:sz w:val="24"/>
                <w:szCs w:val="32"/>
              </w:rPr>
              <w:t>通过实地调研、文献阅读等方式对村内森林动植物、长城文化等核心科普资源进行了解，同时</w:t>
            </w:r>
            <w:r>
              <w:rPr>
                <w:rFonts w:ascii="仿宋_GB2312" w:hAnsi="仿宋" w:eastAsia="仿宋_GB2312"/>
                <w:sz w:val="24"/>
                <w:szCs w:val="32"/>
              </w:rPr>
              <w:t>对接村委会、景区运营方、村内护林员与民宿经营户，通过小型座谈、现场走访沟通，精准梳理村民、游客、研学师生三类核心群体的核心科普需求。核心推进</w:t>
            </w:r>
            <w:r>
              <w:rPr>
                <w:rFonts w:hint="eastAsia" w:ascii="仿宋_GB2312" w:hAnsi="仿宋" w:eastAsia="仿宋_GB2312"/>
                <w:sz w:val="24"/>
                <w:szCs w:val="32"/>
              </w:rPr>
              <w:t>三</w:t>
            </w:r>
            <w:r>
              <w:rPr>
                <w:rFonts w:ascii="仿宋_GB2312" w:hAnsi="仿宋" w:eastAsia="仿宋_GB2312"/>
                <w:sz w:val="24"/>
                <w:szCs w:val="32"/>
              </w:rPr>
              <w:t>项落地工作：一是编制《大榛峪村自然科普手绘图鉴》，以通俗手绘搭配直白易懂的文字，标注本土常见林果、野菜、野生菌、鸟类的识别要点、安全提示与趣味科普知识，重点区分国家及地方保护物种，兼顾实用性与趣味性，适配全年龄段人群阅读使用。二是开发3套轻量化科普课程，面向村民设计森林防火、林下资源安全采摘、森林康养基础常识课程，面向亲子游客打造自然手工、生态小知识体验课，面向中小学生推出植物科普、环保小课堂，每套课程均配套标准化课件、活动流程与物料清单，易落地、可长期复用。三是开展不少于4场线下科普宣讲与自然体验活动，同步为民宿主</w:t>
            </w:r>
            <w:r>
              <w:rPr>
                <w:rFonts w:hint="eastAsia" w:ascii="仿宋_GB2312" w:hAnsi="仿宋" w:eastAsia="仿宋_GB2312"/>
                <w:sz w:val="24"/>
                <w:szCs w:val="32"/>
              </w:rPr>
              <w:t>等相关人员</w:t>
            </w:r>
            <w:r>
              <w:rPr>
                <w:rFonts w:ascii="仿宋_GB2312" w:hAnsi="仿宋" w:eastAsia="仿宋_GB2312"/>
                <w:sz w:val="24"/>
                <w:szCs w:val="32"/>
              </w:rPr>
              <w:t>开展科普技能培训，帮助村内搭建自主科普服务能力，让科普内容长期服务村民生产生活、游客研学体验与村庄文旅品牌建设。</w:t>
            </w:r>
          </w:p>
          <w:p w14:paraId="7D0FF9E5">
            <w:pPr>
              <w:keepNext w:val="0"/>
              <w:keepLines w:val="0"/>
              <w:pageBreakBefore w:val="0"/>
              <w:widowControl/>
              <w:kinsoku/>
              <w:wordWrap/>
              <w:overflowPunct/>
              <w:topLinePunct w:val="0"/>
              <w:autoSpaceDE/>
              <w:autoSpaceDN/>
              <w:bidi w:val="0"/>
              <w:adjustRightInd/>
              <w:snapToGrid/>
              <w:spacing w:line="320" w:lineRule="exact"/>
              <w:ind w:firstLine="482" w:firstLineChars="200"/>
              <w:textAlignment w:val="auto"/>
              <w:rPr>
                <w:rFonts w:hint="eastAsia" w:ascii="仿宋_GB2312" w:hAnsi="仿宋" w:eastAsia="仿宋_GB2312"/>
                <w:b/>
                <w:bCs/>
                <w:sz w:val="24"/>
                <w:szCs w:val="32"/>
              </w:rPr>
            </w:pPr>
            <w:r>
              <w:rPr>
                <w:rFonts w:hint="eastAsia" w:ascii="仿宋_GB2312" w:hAnsi="仿宋" w:eastAsia="仿宋_GB2312"/>
                <w:b/>
                <w:bCs/>
                <w:sz w:val="24"/>
                <w:szCs w:val="32"/>
              </w:rPr>
              <w:t>专题二：</w:t>
            </w:r>
            <w:r>
              <w:rPr>
                <w:rFonts w:ascii="仿宋_GB2312" w:hAnsi="仿宋" w:eastAsia="仿宋_GB2312"/>
                <w:b/>
                <w:bCs/>
                <w:sz w:val="24"/>
                <w:szCs w:val="32"/>
              </w:rPr>
              <w:t>产业助农林下经济提质与农旅康养融合升级</w:t>
            </w:r>
          </w:p>
          <w:p w14:paraId="1E654807">
            <w:pPr>
              <w:keepNext w:val="0"/>
              <w:keepLines w:val="0"/>
              <w:pageBreakBefore w:val="0"/>
              <w:widowControl/>
              <w:kinsoku/>
              <w:wordWrap/>
              <w:overflowPunct/>
              <w:topLinePunct w:val="0"/>
              <w:autoSpaceDE/>
              <w:autoSpaceDN/>
              <w:bidi w:val="0"/>
              <w:adjustRightInd/>
              <w:snapToGrid/>
              <w:spacing w:line="320" w:lineRule="exact"/>
              <w:ind w:firstLine="480" w:firstLineChars="200"/>
              <w:textAlignment w:val="auto"/>
              <w:rPr>
                <w:rFonts w:hint="eastAsia" w:ascii="仿宋_GB2312" w:hAnsi="仿宋" w:eastAsia="仿宋_GB2312"/>
                <w:sz w:val="24"/>
                <w:szCs w:val="32"/>
              </w:rPr>
            </w:pPr>
            <w:r>
              <w:rPr>
                <w:rFonts w:ascii="仿宋_GB2312" w:hAnsi="仿宋" w:eastAsia="仿宋_GB2312"/>
                <w:sz w:val="24"/>
                <w:szCs w:val="32"/>
              </w:rPr>
              <w:t>前期走访村内种植户、民宿农家院经营户，面对面了解生产经营中的实际难点，精准对接需求；完成三项落地工作：一是林下经济实用化升级，编制《大榛峪村林下产品实用手册》，用图文形式讲清板栗、核桃等特色林果的简易保鲜技巧、野生菌的安全采收方法，方便村民随时查阅；结合长城文化，为村内板栗、核桃、林下特色农产品设计专属品牌LOGO与系列伴手礼包装。二是农旅康养融合产品打造，联合民宿、景区现场踏勘适宜的林地、滨水区域，打造2-3套可直接落地的“森林康养+采摘+研学+美食”一体化体验套餐，适配亲子家庭、中老年休闲、年轻群体放松等不同客群，配套完整的执行流程、物料清单、宣传文案，村内民宿、景区可直接复用；设计1条闭环式森林康养主题步道，标注沿途休憩点位、康养小贴士、植物科普内容，绘制可直接使用的步道导览图；编制《大榛峪村森林康养运营指南》，用通俗图文讲解活动组织要点、安全注意事项、基础服务规范。三是村民增收技能赋能，面向民宿主、种植户开展2场专项培训，分别为康养活动运营培训、农产品线上宣传与短视频拍摄基础培训，帮助村民自主运营产品、拓宽销售渠道。</w:t>
            </w:r>
          </w:p>
          <w:p w14:paraId="6B17F1BF">
            <w:pPr>
              <w:keepNext w:val="0"/>
              <w:keepLines w:val="0"/>
              <w:pageBreakBefore w:val="0"/>
              <w:widowControl/>
              <w:kinsoku/>
              <w:wordWrap/>
              <w:overflowPunct/>
              <w:topLinePunct w:val="0"/>
              <w:autoSpaceDE/>
              <w:autoSpaceDN/>
              <w:bidi w:val="0"/>
              <w:adjustRightInd/>
              <w:snapToGrid/>
              <w:spacing w:line="320" w:lineRule="exact"/>
              <w:ind w:firstLine="482" w:firstLineChars="200"/>
              <w:textAlignment w:val="auto"/>
              <w:rPr>
                <w:rFonts w:hint="eastAsia" w:ascii="仿宋_GB2312" w:hAnsi="仿宋" w:eastAsia="仿宋_GB2312"/>
                <w:b/>
                <w:bCs/>
                <w:sz w:val="24"/>
                <w:szCs w:val="32"/>
              </w:rPr>
            </w:pPr>
            <w:r>
              <w:rPr>
                <w:rFonts w:hint="eastAsia" w:ascii="仿宋_GB2312" w:hAnsi="仿宋" w:eastAsia="仿宋_GB2312"/>
                <w:b/>
                <w:bCs/>
                <w:sz w:val="24"/>
                <w:szCs w:val="32"/>
              </w:rPr>
              <w:t>专题三：风貌焕新长城主题乡村美学场景落地营造</w:t>
            </w:r>
          </w:p>
          <w:p w14:paraId="6330AD93">
            <w:pPr>
              <w:keepNext w:val="0"/>
              <w:keepLines w:val="0"/>
              <w:pageBreakBefore w:val="0"/>
              <w:widowControl/>
              <w:kinsoku/>
              <w:wordWrap/>
              <w:overflowPunct/>
              <w:topLinePunct w:val="0"/>
              <w:autoSpaceDE/>
              <w:autoSpaceDN/>
              <w:bidi w:val="0"/>
              <w:adjustRightInd/>
              <w:snapToGrid/>
              <w:spacing w:line="320" w:lineRule="exact"/>
              <w:ind w:firstLine="480" w:firstLineChars="200"/>
              <w:textAlignment w:val="auto"/>
              <w:rPr>
                <w:rFonts w:hint="eastAsia" w:ascii="仿宋_GB2312" w:hAnsi="仿宋" w:eastAsia="仿宋_GB2312"/>
                <w:sz w:val="24"/>
                <w:szCs w:val="32"/>
              </w:rPr>
            </w:pPr>
            <w:r>
              <w:rPr>
                <w:rFonts w:hint="eastAsia" w:ascii="仿宋_GB2312" w:hAnsi="仿宋" w:eastAsia="仿宋_GB2312"/>
                <w:sz w:val="24"/>
                <w:szCs w:val="32"/>
              </w:rPr>
              <w:t>前期联合村委会现场踩点，全面摸排村内主街巷、公共空间、康养步道、研学路线、景区入口等关键节点，与村委、村民代表面对面沟通，确认点位分布与实际需求，完成乡村风貌提升需求调研与核心点位梳理。实践围绕“文化赋能、生态增彩、实用便民”核心原则，重点推进三项工作：一是主题壁画创作与落地，融合长城历史、红色文化、生态文明、乡村振兴等主题，结合村内建筑风貌与公共空间特点，完成不少于3处核心点位的主题壁画设计与绘制，让闲置墙面成为展示村庄文化、传递生态理念的窗口，提升乡村整体文化氛围。二是导视标识系统升级，结合长城元素与乡土特色，为村内康养步道、研学路线、林区入口、景区沿线设计科普标识牌与导视牌方案，明确标注路线指引、安全提示、植物科普等内容，兼顾实用性与村庄特色辨识度。三是乡土微景观与庭院美化赋能，设计2处低成本、易落地的长城主题打卡微景观与步道休憩节点，编制《村民庭院美化简易手册》，提供乡土植物搭配、闲置物料改造的实用技巧，开展1场庭院美化小课堂，引导村民共同参与风貌提升，打造兼具长城底蕴与乡土气息的美丽乡村风貌。</w:t>
            </w:r>
          </w:p>
        </w:tc>
      </w:tr>
      <w:tr w14:paraId="26C0B5A5">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299" w:hRule="atLeast"/>
        </w:trPr>
        <w:tc>
          <w:tcPr>
            <w:tcW w:w="1834" w:type="dxa"/>
            <w:vAlign w:val="center"/>
          </w:tcPr>
          <w:p w14:paraId="61233C7A">
            <w:pPr>
              <w:spacing w:line="520" w:lineRule="exact"/>
              <w:jc w:val="center"/>
              <w:rPr>
                <w:rFonts w:hint="eastAsia" w:ascii="仿宋_GB2312" w:hAnsi="仿宋" w:eastAsia="仿宋_GB2312"/>
                <w:sz w:val="24"/>
                <w:szCs w:val="32"/>
              </w:rPr>
            </w:pPr>
            <w:r>
              <w:rPr>
                <w:rFonts w:hint="eastAsia" w:ascii="仿宋_GB2312" w:hAnsi="仿宋" w:eastAsia="仿宋_GB2312"/>
                <w:sz w:val="24"/>
                <w:szCs w:val="32"/>
              </w:rPr>
              <w:t>预期成果</w:t>
            </w:r>
          </w:p>
        </w:tc>
        <w:tc>
          <w:tcPr>
            <w:tcW w:w="8266" w:type="dxa"/>
            <w:gridSpan w:val="5"/>
          </w:tcPr>
          <w:p w14:paraId="5293665F">
            <w:pPr>
              <w:keepNext w:val="0"/>
              <w:keepLines w:val="0"/>
              <w:pageBreakBefore w:val="0"/>
              <w:widowControl/>
              <w:kinsoku/>
              <w:wordWrap/>
              <w:overflowPunct/>
              <w:topLinePunct w:val="0"/>
              <w:autoSpaceDE/>
              <w:autoSpaceDN/>
              <w:bidi w:val="0"/>
              <w:adjustRightInd/>
              <w:snapToGrid/>
              <w:spacing w:line="320" w:lineRule="exact"/>
              <w:ind w:firstLine="482" w:firstLineChars="200"/>
              <w:textAlignment w:val="auto"/>
              <w:rPr>
                <w:rFonts w:hint="eastAsia" w:ascii="仿宋_GB2312" w:hAnsi="仿宋" w:eastAsia="仿宋_GB2312"/>
                <w:b/>
                <w:bCs/>
                <w:sz w:val="24"/>
                <w:szCs w:val="32"/>
              </w:rPr>
            </w:pPr>
            <w:r>
              <w:rPr>
                <w:rFonts w:hint="eastAsia" w:ascii="仿宋_GB2312" w:hAnsi="仿宋" w:eastAsia="仿宋_GB2312"/>
                <w:b/>
                <w:bCs/>
                <w:sz w:val="24"/>
                <w:szCs w:val="32"/>
              </w:rPr>
              <w:t>1.专题一提交成果：</w:t>
            </w:r>
            <w:r>
              <w:rPr>
                <w:rFonts w:hint="eastAsia" w:ascii="仿宋_GB2312" w:hAnsi="仿宋" w:eastAsia="仿宋_GB2312"/>
                <w:sz w:val="24"/>
                <w:szCs w:val="32"/>
              </w:rPr>
              <w:t>《大榛峪村自然科普手绘图鉴》1套，轻量化科普课程课件与活动执行方案，线下科普活动纪实影像资料；</w:t>
            </w:r>
          </w:p>
          <w:p w14:paraId="0A7AADFE">
            <w:pPr>
              <w:keepNext w:val="0"/>
              <w:keepLines w:val="0"/>
              <w:pageBreakBefore w:val="0"/>
              <w:widowControl/>
              <w:kinsoku/>
              <w:wordWrap/>
              <w:overflowPunct/>
              <w:topLinePunct w:val="0"/>
              <w:autoSpaceDE/>
              <w:autoSpaceDN/>
              <w:bidi w:val="0"/>
              <w:adjustRightInd/>
              <w:snapToGrid/>
              <w:spacing w:line="320" w:lineRule="exact"/>
              <w:ind w:firstLine="482" w:firstLineChars="200"/>
              <w:textAlignment w:val="auto"/>
              <w:rPr>
                <w:rFonts w:hint="eastAsia" w:ascii="仿宋_GB2312" w:hAnsi="仿宋" w:eastAsia="仿宋_GB2312"/>
                <w:b/>
                <w:bCs/>
                <w:sz w:val="24"/>
                <w:szCs w:val="32"/>
              </w:rPr>
            </w:pPr>
            <w:r>
              <w:rPr>
                <w:rFonts w:hint="eastAsia" w:ascii="仿宋_GB2312" w:hAnsi="仿宋" w:eastAsia="仿宋_GB2312"/>
                <w:b/>
                <w:bCs/>
                <w:sz w:val="24"/>
                <w:szCs w:val="32"/>
              </w:rPr>
              <w:t>2.专题二提交成果：</w:t>
            </w:r>
            <w:r>
              <w:rPr>
                <w:rFonts w:hint="eastAsia" w:ascii="仿宋_GB2312" w:hAnsi="仿宋" w:eastAsia="仿宋_GB2312"/>
                <w:sz w:val="24"/>
                <w:szCs w:val="32"/>
              </w:rPr>
              <w:t>《大榛峪村林下产品实用手册》1份，村内农特产品品牌LOGO与伴手礼包装设计源文件1套，农旅康养融合体验套餐2-3套，康养主题步道导览图1份，《大榛峪村森林康养运营指南》1份，村民专项培训课件；</w:t>
            </w:r>
          </w:p>
          <w:p w14:paraId="7EE262EE">
            <w:pPr>
              <w:keepNext w:val="0"/>
              <w:keepLines w:val="0"/>
              <w:pageBreakBefore w:val="0"/>
              <w:widowControl/>
              <w:kinsoku/>
              <w:wordWrap/>
              <w:overflowPunct/>
              <w:topLinePunct w:val="0"/>
              <w:autoSpaceDE/>
              <w:autoSpaceDN/>
              <w:bidi w:val="0"/>
              <w:adjustRightInd/>
              <w:snapToGrid/>
              <w:spacing w:line="320" w:lineRule="exact"/>
              <w:ind w:firstLine="482" w:firstLineChars="200"/>
              <w:textAlignment w:val="auto"/>
              <w:rPr>
                <w:rFonts w:hint="eastAsia" w:ascii="仿宋_GB2312" w:hAnsi="仿宋" w:eastAsia="仿宋_GB2312"/>
                <w:sz w:val="24"/>
                <w:szCs w:val="32"/>
              </w:rPr>
            </w:pPr>
            <w:r>
              <w:rPr>
                <w:rFonts w:hint="eastAsia" w:ascii="仿宋_GB2312" w:hAnsi="仿宋" w:eastAsia="仿宋_GB2312"/>
                <w:b/>
                <w:bCs/>
                <w:sz w:val="24"/>
                <w:szCs w:val="32"/>
              </w:rPr>
              <w:t>3.专题三提交成果：</w:t>
            </w:r>
            <w:r>
              <w:rPr>
                <w:rFonts w:hint="eastAsia" w:ascii="仿宋_GB2312" w:hAnsi="仿宋" w:eastAsia="仿宋_GB2312"/>
                <w:sz w:val="24"/>
                <w:szCs w:val="32"/>
              </w:rPr>
              <w:t>村内核心点位主题壁画落地成品（不少于3处），村内导视标识、科普标识牌设计方案1套，乡村微景观与休憩节点设计方案1套，村民庭院美化小指南1份。</w:t>
            </w:r>
          </w:p>
          <w:p w14:paraId="4A2BF983">
            <w:pPr>
              <w:keepNext w:val="0"/>
              <w:keepLines w:val="0"/>
              <w:pageBreakBefore w:val="0"/>
              <w:widowControl/>
              <w:kinsoku/>
              <w:wordWrap/>
              <w:overflowPunct/>
              <w:topLinePunct w:val="0"/>
              <w:autoSpaceDE/>
              <w:autoSpaceDN/>
              <w:bidi w:val="0"/>
              <w:adjustRightInd/>
              <w:snapToGrid/>
              <w:spacing w:line="320" w:lineRule="exact"/>
              <w:ind w:firstLine="482" w:firstLineChars="200"/>
              <w:textAlignment w:val="auto"/>
              <w:rPr>
                <w:rFonts w:hint="eastAsia" w:ascii="仿宋_GB2312" w:hAnsi="仿宋" w:eastAsia="仿宋_GB2312"/>
                <w:sz w:val="24"/>
                <w:szCs w:val="32"/>
              </w:rPr>
            </w:pPr>
            <w:r>
              <w:rPr>
                <w:rFonts w:hint="eastAsia" w:ascii="仿宋_GB2312" w:hAnsi="仿宋" w:eastAsia="仿宋_GB2312"/>
                <w:b/>
                <w:bCs/>
                <w:sz w:val="24"/>
                <w:szCs w:val="32"/>
              </w:rPr>
              <w:t>4.总结成果：</w:t>
            </w:r>
            <w:r>
              <w:rPr>
                <w:rFonts w:hint="eastAsia" w:ascii="仿宋_GB2312" w:hAnsi="仿宋" w:eastAsia="仿宋_GB2312"/>
                <w:sz w:val="24"/>
                <w:szCs w:val="32"/>
              </w:rPr>
              <w:t>暑期社会实践总结报告1份，项目全过程纪实素材与成果展示PPT。</w:t>
            </w:r>
          </w:p>
        </w:tc>
      </w:tr>
      <w:tr w14:paraId="1781D72D">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04D103B7">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可提供支持条件及指导措施</w:t>
            </w:r>
          </w:p>
        </w:tc>
        <w:tc>
          <w:tcPr>
            <w:tcW w:w="8266" w:type="dxa"/>
            <w:gridSpan w:val="5"/>
          </w:tcPr>
          <w:p w14:paraId="4A0AAFA3">
            <w:pPr>
              <w:keepNext w:val="0"/>
              <w:keepLines w:val="0"/>
              <w:pageBreakBefore w:val="0"/>
              <w:widowControl/>
              <w:kinsoku/>
              <w:wordWrap/>
              <w:overflowPunct/>
              <w:topLinePunct w:val="0"/>
              <w:autoSpaceDE/>
              <w:autoSpaceDN/>
              <w:bidi w:val="0"/>
              <w:adjustRightInd/>
              <w:snapToGrid/>
              <w:spacing w:line="320" w:lineRule="exact"/>
              <w:ind w:firstLine="482" w:firstLineChars="200"/>
              <w:textAlignment w:val="auto"/>
              <w:rPr>
                <w:rFonts w:hint="eastAsia" w:ascii="仿宋_GB2312" w:hAnsi="仿宋" w:eastAsia="仿宋_GB2312"/>
                <w:sz w:val="24"/>
                <w:szCs w:val="32"/>
              </w:rPr>
            </w:pPr>
            <w:r>
              <w:rPr>
                <w:rFonts w:hint="eastAsia" w:ascii="仿宋_GB2312" w:hAnsi="仿宋" w:eastAsia="仿宋_GB2312"/>
                <w:b/>
                <w:bCs/>
                <w:sz w:val="24"/>
                <w:szCs w:val="32"/>
              </w:rPr>
              <w:t>1.专业实操指导：</w:t>
            </w:r>
            <w:r>
              <w:rPr>
                <w:rFonts w:hint="eastAsia" w:ascii="仿宋_GB2312" w:hAnsi="仿宋" w:eastAsia="仿宋_GB2312"/>
                <w:sz w:val="24"/>
                <w:szCs w:val="32"/>
              </w:rPr>
              <w:t>对接北京林业大学林学、森林康养、园林、艺术设计、自然教育、农林经济等相关专业师生，为科普内容制作、农旅康养产品设计、包装制作、壁画落地、活动执行提供全流程实操指导与技能培训；</w:t>
            </w:r>
          </w:p>
          <w:p w14:paraId="7EA55A90">
            <w:pPr>
              <w:keepNext w:val="0"/>
              <w:keepLines w:val="0"/>
              <w:pageBreakBefore w:val="0"/>
              <w:widowControl/>
              <w:kinsoku/>
              <w:wordWrap/>
              <w:overflowPunct/>
              <w:topLinePunct w:val="0"/>
              <w:autoSpaceDE/>
              <w:autoSpaceDN/>
              <w:bidi w:val="0"/>
              <w:adjustRightInd/>
              <w:snapToGrid/>
              <w:spacing w:line="320" w:lineRule="exact"/>
              <w:ind w:firstLine="482" w:firstLineChars="200"/>
              <w:textAlignment w:val="auto"/>
              <w:rPr>
                <w:rFonts w:hint="eastAsia" w:ascii="仿宋_GB2312" w:hAnsi="仿宋" w:eastAsia="仿宋_GB2312"/>
                <w:sz w:val="24"/>
                <w:szCs w:val="32"/>
              </w:rPr>
            </w:pPr>
            <w:r>
              <w:rPr>
                <w:rFonts w:hint="eastAsia" w:ascii="仿宋_GB2312" w:hAnsi="仿宋" w:eastAsia="仿宋_GB2312"/>
                <w:b/>
                <w:bCs/>
                <w:sz w:val="24"/>
                <w:szCs w:val="32"/>
              </w:rPr>
              <w:t>2.属地落地支持：</w:t>
            </w:r>
            <w:r>
              <w:rPr>
                <w:rFonts w:hint="eastAsia" w:ascii="仿宋_GB2312" w:hAnsi="仿宋" w:eastAsia="仿宋_GB2312"/>
                <w:sz w:val="24"/>
                <w:szCs w:val="32"/>
              </w:rPr>
              <w:t>协调大榛峪村村委会提供壁画绘制场地、活动开展场地、物料存放空间，对接村内种植户、民宿主、护林员、景区运营方，保障现场踏勘、入户走访、施工落地、活动开展全流程顺利推进；</w:t>
            </w:r>
          </w:p>
          <w:p w14:paraId="601F8CB4">
            <w:pPr>
              <w:keepNext w:val="0"/>
              <w:keepLines w:val="0"/>
              <w:pageBreakBefore w:val="0"/>
              <w:widowControl/>
              <w:kinsoku/>
              <w:wordWrap/>
              <w:overflowPunct/>
              <w:topLinePunct w:val="0"/>
              <w:autoSpaceDE/>
              <w:autoSpaceDN/>
              <w:bidi w:val="0"/>
              <w:adjustRightInd/>
              <w:snapToGrid/>
              <w:spacing w:line="320" w:lineRule="exact"/>
              <w:ind w:firstLine="482" w:firstLineChars="200"/>
              <w:textAlignment w:val="auto"/>
              <w:rPr>
                <w:rFonts w:hint="eastAsia" w:ascii="仿宋_GB2312" w:hAnsi="仿宋" w:eastAsia="仿宋_GB2312"/>
                <w:sz w:val="24"/>
                <w:szCs w:val="32"/>
              </w:rPr>
            </w:pPr>
            <w:r>
              <w:rPr>
                <w:rFonts w:hint="eastAsia" w:ascii="仿宋_GB2312" w:hAnsi="仿宋" w:eastAsia="仿宋_GB2312"/>
                <w:b/>
                <w:bCs/>
                <w:sz w:val="24"/>
                <w:szCs w:val="32"/>
              </w:rPr>
              <w:t>3.素材资源支持：</w:t>
            </w:r>
            <w:r>
              <w:rPr>
                <w:rFonts w:hint="eastAsia" w:ascii="仿宋_GB2312" w:hAnsi="仿宋" w:eastAsia="仿宋_GB2312"/>
                <w:sz w:val="24"/>
                <w:szCs w:val="32"/>
              </w:rPr>
              <w:t>提供科普制作、产品设计、包装设计、课程制作、壁画创作相关的模板参考、素材库与行业标杆案例，为实践团队提供基础物料、制作印刷的相关对接支持；</w:t>
            </w:r>
          </w:p>
          <w:p w14:paraId="2C1666B6">
            <w:pPr>
              <w:keepNext w:val="0"/>
              <w:keepLines w:val="0"/>
              <w:pageBreakBefore w:val="0"/>
              <w:widowControl/>
              <w:kinsoku/>
              <w:wordWrap/>
              <w:overflowPunct/>
              <w:topLinePunct w:val="0"/>
              <w:autoSpaceDE/>
              <w:autoSpaceDN/>
              <w:bidi w:val="0"/>
              <w:adjustRightInd/>
              <w:snapToGrid/>
              <w:spacing w:line="320" w:lineRule="exact"/>
              <w:ind w:firstLine="482" w:firstLineChars="200"/>
              <w:textAlignment w:val="auto"/>
              <w:rPr>
                <w:rFonts w:hint="eastAsia" w:ascii="仿宋_GB2312" w:hAnsi="仿宋" w:eastAsia="仿宋_GB2312"/>
                <w:sz w:val="24"/>
                <w:szCs w:val="32"/>
              </w:rPr>
            </w:pPr>
            <w:r>
              <w:rPr>
                <w:rFonts w:hint="eastAsia" w:ascii="仿宋_GB2312" w:hAnsi="仿宋" w:eastAsia="仿宋_GB2312"/>
                <w:b/>
                <w:bCs/>
                <w:sz w:val="24"/>
                <w:szCs w:val="32"/>
              </w:rPr>
              <w:t>4.长效推广支持：</w:t>
            </w:r>
            <w:r>
              <w:rPr>
                <w:rFonts w:hint="eastAsia" w:ascii="仿宋_GB2312" w:hAnsi="仿宋" w:eastAsia="仿宋_GB2312"/>
                <w:sz w:val="24"/>
                <w:szCs w:val="32"/>
              </w:rPr>
              <w:t>实践结束后协助村委会完成成果的长期落地与复用，联动校内新媒体平台为村庄农旅康养产品、文旅资源、特色农产品提供公益宣传支持，助力成果长效发挥价值；</w:t>
            </w:r>
          </w:p>
          <w:p w14:paraId="01201BD3">
            <w:pPr>
              <w:keepNext w:val="0"/>
              <w:keepLines w:val="0"/>
              <w:pageBreakBefore w:val="0"/>
              <w:widowControl/>
              <w:kinsoku/>
              <w:wordWrap/>
              <w:overflowPunct/>
              <w:topLinePunct w:val="0"/>
              <w:autoSpaceDE/>
              <w:autoSpaceDN/>
              <w:bidi w:val="0"/>
              <w:adjustRightInd/>
              <w:snapToGrid/>
              <w:spacing w:line="320" w:lineRule="exact"/>
              <w:ind w:firstLine="482" w:firstLineChars="200"/>
              <w:textAlignment w:val="auto"/>
              <w:rPr>
                <w:rFonts w:hint="eastAsia" w:ascii="仿宋_GB2312" w:hAnsi="仿宋" w:eastAsia="仿宋_GB2312"/>
                <w:sz w:val="24"/>
                <w:szCs w:val="32"/>
              </w:rPr>
            </w:pPr>
            <w:r>
              <w:rPr>
                <w:rFonts w:hint="eastAsia" w:ascii="仿宋_GB2312" w:hAnsi="仿宋" w:eastAsia="仿宋_GB2312"/>
                <w:b/>
                <w:bCs/>
                <w:sz w:val="24"/>
                <w:szCs w:val="32"/>
              </w:rPr>
              <w:t>5.实践保障支持：</w:t>
            </w:r>
            <w:r>
              <w:rPr>
                <w:rFonts w:hint="eastAsia" w:ascii="仿宋_GB2312" w:hAnsi="仿宋" w:eastAsia="仿宋_GB2312"/>
                <w:sz w:val="24"/>
                <w:szCs w:val="32"/>
              </w:rPr>
              <w:t>为实践团队提供暑期社会实践全流程的规范指导、安全培训与评优推荐支持，协调村内为团队提供基础的住宿、交通对接服务，保障实践平稳推进。</w:t>
            </w:r>
          </w:p>
        </w:tc>
      </w:tr>
      <w:tr w14:paraId="03271D5A">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1410E10A">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安全风险及</w:t>
            </w:r>
            <w:r>
              <w:rPr>
                <w:rFonts w:hint="eastAsia" w:ascii="仿宋_GB2312" w:hAnsi="仿宋" w:eastAsia="仿宋_GB2312"/>
                <w:sz w:val="24"/>
                <w:szCs w:val="32"/>
              </w:rPr>
              <w:br w:type="textWrapping"/>
            </w:r>
            <w:r>
              <w:rPr>
                <w:rFonts w:hint="eastAsia" w:ascii="仿宋_GB2312" w:hAnsi="仿宋" w:eastAsia="仿宋_GB2312"/>
                <w:sz w:val="24"/>
                <w:szCs w:val="32"/>
              </w:rPr>
              <w:t>注意事项</w:t>
            </w:r>
          </w:p>
        </w:tc>
        <w:tc>
          <w:tcPr>
            <w:tcW w:w="8266" w:type="dxa"/>
            <w:gridSpan w:val="5"/>
          </w:tcPr>
          <w:p w14:paraId="362BC4E9">
            <w:pPr>
              <w:keepNext w:val="0"/>
              <w:keepLines w:val="0"/>
              <w:pageBreakBefore w:val="0"/>
              <w:widowControl/>
              <w:kinsoku/>
              <w:wordWrap/>
              <w:overflowPunct/>
              <w:topLinePunct w:val="0"/>
              <w:autoSpaceDE/>
              <w:autoSpaceDN/>
              <w:bidi w:val="0"/>
              <w:adjustRightInd/>
              <w:snapToGrid/>
              <w:spacing w:line="320" w:lineRule="exact"/>
              <w:ind w:firstLine="480" w:firstLineChars="200"/>
              <w:textAlignment w:val="auto"/>
              <w:rPr>
                <w:rFonts w:hint="eastAsia" w:ascii="仿宋_GB2312" w:hAnsi="仿宋" w:eastAsia="仿宋_GB2312"/>
                <w:sz w:val="24"/>
                <w:szCs w:val="32"/>
              </w:rPr>
            </w:pPr>
            <w:r>
              <w:rPr>
                <w:rFonts w:hint="eastAsia" w:ascii="仿宋_GB2312" w:hAnsi="仿宋" w:eastAsia="仿宋_GB2312"/>
                <w:sz w:val="24"/>
                <w:szCs w:val="32"/>
              </w:rPr>
              <w:t>1.野外踏勘、山林相关活动严格遵守森林防火规定，严禁携带火种进山，全程由村内护林员陪同，严禁单独行动；提前做好防蛇虫、防野生动物防护，配备应急药品，不采摘、不食用不明野生菌与植物，规避误食中毒风险；</w:t>
            </w:r>
          </w:p>
          <w:p w14:paraId="31D27A3A">
            <w:pPr>
              <w:keepNext w:val="0"/>
              <w:keepLines w:val="0"/>
              <w:pageBreakBefore w:val="0"/>
              <w:widowControl/>
              <w:kinsoku/>
              <w:wordWrap/>
              <w:overflowPunct/>
              <w:topLinePunct w:val="0"/>
              <w:autoSpaceDE/>
              <w:autoSpaceDN/>
              <w:bidi w:val="0"/>
              <w:adjustRightInd/>
              <w:snapToGrid/>
              <w:spacing w:line="320" w:lineRule="exact"/>
              <w:ind w:firstLine="480" w:firstLineChars="200"/>
              <w:textAlignment w:val="auto"/>
              <w:rPr>
                <w:rFonts w:hint="eastAsia" w:ascii="仿宋_GB2312" w:hAnsi="仿宋" w:eastAsia="仿宋_GB2312"/>
                <w:sz w:val="24"/>
                <w:szCs w:val="32"/>
              </w:rPr>
            </w:pPr>
            <w:r>
              <w:rPr>
                <w:rFonts w:hint="eastAsia" w:ascii="仿宋_GB2312" w:hAnsi="仿宋" w:eastAsia="仿宋_GB2312"/>
                <w:sz w:val="24"/>
                <w:szCs w:val="32"/>
              </w:rPr>
              <w:t>2.森林康养活动开展前，提前踏勘路线、排查场地安全隐患，针对不同客群制定差异化安全保障方案，配备应急药品与急救物资，全程做好安全引导与风险提示；</w:t>
            </w:r>
          </w:p>
          <w:p w14:paraId="341E1184">
            <w:pPr>
              <w:keepNext w:val="0"/>
              <w:keepLines w:val="0"/>
              <w:pageBreakBefore w:val="0"/>
              <w:widowControl/>
              <w:kinsoku/>
              <w:wordWrap/>
              <w:overflowPunct/>
              <w:topLinePunct w:val="0"/>
              <w:autoSpaceDE/>
              <w:autoSpaceDN/>
              <w:bidi w:val="0"/>
              <w:adjustRightInd/>
              <w:snapToGrid/>
              <w:spacing w:line="320" w:lineRule="exact"/>
              <w:ind w:firstLine="480" w:firstLineChars="200"/>
              <w:textAlignment w:val="auto"/>
              <w:rPr>
                <w:rFonts w:hint="eastAsia" w:ascii="仿宋_GB2312" w:hAnsi="仿宋" w:eastAsia="仿宋_GB2312"/>
                <w:sz w:val="24"/>
                <w:szCs w:val="32"/>
              </w:rPr>
            </w:pPr>
            <w:r>
              <w:rPr>
                <w:rFonts w:hint="eastAsia" w:ascii="仿宋_GB2312" w:hAnsi="仿宋" w:eastAsia="仿宋_GB2312"/>
                <w:sz w:val="24"/>
                <w:szCs w:val="32"/>
              </w:rPr>
              <w:t>3.入户走访、村民培训、线下活动提前与村委会对接，充分尊重当地民俗习惯与村民个人意愿，不干扰村民正常生产生活，文明礼貌开展各项服务工作；</w:t>
            </w:r>
          </w:p>
          <w:p w14:paraId="7D130FB8">
            <w:pPr>
              <w:keepNext w:val="0"/>
              <w:keepLines w:val="0"/>
              <w:pageBreakBefore w:val="0"/>
              <w:widowControl/>
              <w:kinsoku/>
              <w:wordWrap/>
              <w:overflowPunct/>
              <w:topLinePunct w:val="0"/>
              <w:autoSpaceDE/>
              <w:autoSpaceDN/>
              <w:bidi w:val="0"/>
              <w:adjustRightInd/>
              <w:snapToGrid/>
              <w:spacing w:line="320" w:lineRule="exact"/>
              <w:ind w:firstLine="480" w:firstLineChars="200"/>
              <w:textAlignment w:val="auto"/>
              <w:rPr>
                <w:rFonts w:hint="eastAsia" w:ascii="仿宋_GB2312" w:hAnsi="仿宋" w:eastAsia="仿宋_GB2312"/>
                <w:sz w:val="24"/>
                <w:szCs w:val="32"/>
              </w:rPr>
            </w:pPr>
            <w:r>
              <w:rPr>
                <w:rFonts w:hint="eastAsia" w:ascii="仿宋_GB2312" w:hAnsi="仿宋" w:eastAsia="仿宋_GB2312"/>
                <w:sz w:val="24"/>
                <w:szCs w:val="32"/>
              </w:rPr>
              <w:t>4.壁画绘制、现场施工涉及电动工具操作的，需提前开展专项安全培训，配备全套安全防护装备，严禁无资质违规操作；施工过程严格遵循村内整体规划，不擅自改动公共设施与村民建筑，做到文明施工、工完场清；</w:t>
            </w:r>
          </w:p>
          <w:p w14:paraId="50CFC3A7">
            <w:pPr>
              <w:keepNext w:val="0"/>
              <w:keepLines w:val="0"/>
              <w:pageBreakBefore w:val="0"/>
              <w:widowControl/>
              <w:kinsoku/>
              <w:wordWrap/>
              <w:overflowPunct/>
              <w:topLinePunct w:val="0"/>
              <w:autoSpaceDE/>
              <w:autoSpaceDN/>
              <w:bidi w:val="0"/>
              <w:adjustRightInd/>
              <w:snapToGrid/>
              <w:spacing w:line="320" w:lineRule="exact"/>
              <w:ind w:firstLine="480" w:firstLineChars="200"/>
              <w:textAlignment w:val="auto"/>
              <w:rPr>
                <w:rFonts w:hint="eastAsia" w:ascii="仿宋_GB2312" w:hAnsi="仿宋" w:eastAsia="仿宋_GB2312"/>
                <w:sz w:val="24"/>
                <w:szCs w:val="32"/>
              </w:rPr>
            </w:pPr>
            <w:r>
              <w:rPr>
                <w:rFonts w:hint="eastAsia" w:ascii="仿宋_GB2312" w:hAnsi="仿宋" w:eastAsia="仿宋_GB2312"/>
                <w:sz w:val="24"/>
                <w:szCs w:val="32"/>
              </w:rPr>
              <w:t>5.实践全程严格遵守北京林业大学暑期社会实践管理规定与属地各项管理要求，制定完善的应急预案，每日做好行程报备与全员安全管理，遇突发情况第一时间向学校与村委会上报处置。</w:t>
            </w:r>
          </w:p>
        </w:tc>
      </w:tr>
      <w:tr w14:paraId="79507043">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12" w:hRule="atLeast"/>
        </w:trPr>
        <w:tc>
          <w:tcPr>
            <w:tcW w:w="1834" w:type="dxa"/>
            <w:vAlign w:val="center"/>
          </w:tcPr>
          <w:p w14:paraId="42652B63">
            <w:pPr>
              <w:spacing w:line="520" w:lineRule="exact"/>
              <w:jc w:val="center"/>
              <w:rPr>
                <w:rFonts w:hint="eastAsia" w:ascii="仿宋_GB2312" w:hAnsi="仿宋" w:eastAsia="仿宋_GB2312"/>
                <w:sz w:val="24"/>
                <w:szCs w:val="32"/>
              </w:rPr>
            </w:pPr>
            <w:r>
              <w:rPr>
                <w:rFonts w:hint="eastAsia" w:ascii="仿宋_GB2312" w:hAnsi="仿宋" w:eastAsia="仿宋_GB2312"/>
                <w:sz w:val="24"/>
                <w:szCs w:val="32"/>
              </w:rPr>
              <w:t>单位审核意见</w:t>
            </w:r>
          </w:p>
        </w:tc>
        <w:tc>
          <w:tcPr>
            <w:tcW w:w="8266" w:type="dxa"/>
            <w:gridSpan w:val="5"/>
          </w:tcPr>
          <w:p w14:paraId="7D57BA90">
            <w:pPr>
              <w:spacing w:line="520" w:lineRule="exact"/>
              <w:jc w:val="right"/>
              <w:rPr>
                <w:rFonts w:hint="eastAsia" w:ascii="仿宋_GB2312" w:hAnsi="仿宋" w:eastAsia="仿宋_GB2312"/>
                <w:sz w:val="24"/>
                <w:szCs w:val="32"/>
              </w:rPr>
            </w:pPr>
          </w:p>
          <w:p w14:paraId="4E9CAC26">
            <w:pPr>
              <w:spacing w:line="520" w:lineRule="exact"/>
              <w:jc w:val="right"/>
              <w:rPr>
                <w:rFonts w:hint="eastAsia" w:ascii="仿宋_GB2312" w:hAnsi="仿宋" w:eastAsia="仿宋_GB2312"/>
                <w:sz w:val="24"/>
                <w:szCs w:val="32"/>
              </w:rPr>
            </w:pPr>
          </w:p>
          <w:p w14:paraId="788A31D0">
            <w:pPr>
              <w:spacing w:line="520" w:lineRule="exact"/>
              <w:jc w:val="right"/>
              <w:rPr>
                <w:rFonts w:hint="eastAsia" w:ascii="仿宋_GB2312" w:hAnsi="仿宋" w:eastAsia="仿宋_GB2312"/>
                <w:sz w:val="24"/>
                <w:szCs w:val="32"/>
              </w:rPr>
            </w:pPr>
            <w:r>
              <w:rPr>
                <w:rFonts w:ascii="仿宋_GB2312" w:hAnsi="仿宋" w:eastAsia="仿宋_GB2312"/>
                <w:sz w:val="24"/>
                <w:szCs w:val="32"/>
              </w:rPr>
              <w:t>负责人签字：__________________</w:t>
            </w:r>
          </w:p>
          <w:p w14:paraId="4721E719">
            <w:pPr>
              <w:spacing w:line="520" w:lineRule="exact"/>
              <w:jc w:val="right"/>
              <w:rPr>
                <w:rFonts w:hint="eastAsia" w:ascii="仿宋_GB2312" w:hAnsi="仿宋" w:eastAsia="仿宋_GB2312"/>
                <w:sz w:val="24"/>
                <w:szCs w:val="32"/>
              </w:rPr>
            </w:pPr>
            <w:r>
              <w:rPr>
                <w:rFonts w:ascii="仿宋_GB2312" w:hAnsi="仿宋" w:eastAsia="仿宋_GB2312"/>
                <w:sz w:val="24"/>
                <w:szCs w:val="32"/>
              </w:rPr>
              <w:t>单位盖章：__________________</w:t>
            </w:r>
          </w:p>
          <w:p w14:paraId="3E3E5BB1">
            <w:pPr>
              <w:spacing w:line="520" w:lineRule="exact"/>
              <w:jc w:val="right"/>
              <w:rPr>
                <w:rFonts w:hint="eastAsia" w:ascii="仿宋_GB2312" w:hAnsi="仿宋" w:eastAsia="仿宋_GB2312"/>
                <w:sz w:val="24"/>
                <w:szCs w:val="32"/>
              </w:rPr>
            </w:pPr>
            <w:r>
              <w:rPr>
                <w:rFonts w:ascii="仿宋_GB2312" w:hAnsi="仿宋" w:eastAsia="仿宋_GB2312"/>
                <w:sz w:val="24"/>
                <w:szCs w:val="32"/>
              </w:rPr>
              <w:t>_______年_______月_______日</w:t>
            </w:r>
          </w:p>
        </w:tc>
      </w:tr>
    </w:tbl>
    <w:p w14:paraId="1DEFA7D0">
      <w:pPr>
        <w:spacing w:line="520" w:lineRule="exact"/>
        <w:rPr>
          <w:rFonts w:hint="eastAsia" w:ascii="仿宋_GB2312" w:hAnsi="仿宋" w:eastAsia="仿宋_GB2312"/>
          <w:sz w:val="24"/>
          <w:szCs w:val="24"/>
        </w:rPr>
      </w:pPr>
    </w:p>
    <w:sectPr>
      <w:pgSz w:w="11906" w:h="16838"/>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B24"/>
    <w:rsid w:val="000427B9"/>
    <w:rsid w:val="00052C42"/>
    <w:rsid w:val="00055377"/>
    <w:rsid w:val="00064FD4"/>
    <w:rsid w:val="000E0716"/>
    <w:rsid w:val="000E2924"/>
    <w:rsid w:val="000F2442"/>
    <w:rsid w:val="00112A51"/>
    <w:rsid w:val="00142DEB"/>
    <w:rsid w:val="00161B6B"/>
    <w:rsid w:val="00165469"/>
    <w:rsid w:val="0019443A"/>
    <w:rsid w:val="001A3783"/>
    <w:rsid w:val="001B481E"/>
    <w:rsid w:val="00207221"/>
    <w:rsid w:val="002241D7"/>
    <w:rsid w:val="00252C34"/>
    <w:rsid w:val="00272ACF"/>
    <w:rsid w:val="00284D97"/>
    <w:rsid w:val="002920D1"/>
    <w:rsid w:val="002A507A"/>
    <w:rsid w:val="002C2D3D"/>
    <w:rsid w:val="002F4392"/>
    <w:rsid w:val="003600CA"/>
    <w:rsid w:val="0036705B"/>
    <w:rsid w:val="0037586A"/>
    <w:rsid w:val="00401166"/>
    <w:rsid w:val="00441B25"/>
    <w:rsid w:val="0045787C"/>
    <w:rsid w:val="00472430"/>
    <w:rsid w:val="004A3DAE"/>
    <w:rsid w:val="004E44E4"/>
    <w:rsid w:val="004F6B77"/>
    <w:rsid w:val="005452D8"/>
    <w:rsid w:val="00547A48"/>
    <w:rsid w:val="005559E0"/>
    <w:rsid w:val="005769DA"/>
    <w:rsid w:val="005A190C"/>
    <w:rsid w:val="005B0402"/>
    <w:rsid w:val="005B1EFB"/>
    <w:rsid w:val="005C42BF"/>
    <w:rsid w:val="005E4840"/>
    <w:rsid w:val="00600B90"/>
    <w:rsid w:val="00601863"/>
    <w:rsid w:val="00614C95"/>
    <w:rsid w:val="00624771"/>
    <w:rsid w:val="0063761D"/>
    <w:rsid w:val="006721ED"/>
    <w:rsid w:val="006B3469"/>
    <w:rsid w:val="006C3047"/>
    <w:rsid w:val="006F4BF0"/>
    <w:rsid w:val="00712B2E"/>
    <w:rsid w:val="00714A34"/>
    <w:rsid w:val="0073288B"/>
    <w:rsid w:val="00745977"/>
    <w:rsid w:val="0075577F"/>
    <w:rsid w:val="00760896"/>
    <w:rsid w:val="007C539E"/>
    <w:rsid w:val="007D1693"/>
    <w:rsid w:val="00806390"/>
    <w:rsid w:val="00826B65"/>
    <w:rsid w:val="00880EAD"/>
    <w:rsid w:val="00891E92"/>
    <w:rsid w:val="008A5789"/>
    <w:rsid w:val="008C44F2"/>
    <w:rsid w:val="0090336C"/>
    <w:rsid w:val="0094783A"/>
    <w:rsid w:val="00956EDB"/>
    <w:rsid w:val="009710E3"/>
    <w:rsid w:val="009C41BF"/>
    <w:rsid w:val="009E02AA"/>
    <w:rsid w:val="009E1603"/>
    <w:rsid w:val="009E6A62"/>
    <w:rsid w:val="00A103EA"/>
    <w:rsid w:val="00A404AB"/>
    <w:rsid w:val="00A43745"/>
    <w:rsid w:val="00A672DB"/>
    <w:rsid w:val="00A82E61"/>
    <w:rsid w:val="00A846D3"/>
    <w:rsid w:val="00AD37AB"/>
    <w:rsid w:val="00B27B48"/>
    <w:rsid w:val="00B32CC9"/>
    <w:rsid w:val="00B64CD9"/>
    <w:rsid w:val="00BA648C"/>
    <w:rsid w:val="00BB3B1A"/>
    <w:rsid w:val="00BE5C07"/>
    <w:rsid w:val="00BF35C4"/>
    <w:rsid w:val="00C67378"/>
    <w:rsid w:val="00CB7B24"/>
    <w:rsid w:val="00D17275"/>
    <w:rsid w:val="00DD48AB"/>
    <w:rsid w:val="00DD66A8"/>
    <w:rsid w:val="00DD769C"/>
    <w:rsid w:val="00E151A4"/>
    <w:rsid w:val="00E759FC"/>
    <w:rsid w:val="00E961F9"/>
    <w:rsid w:val="00EB0965"/>
    <w:rsid w:val="00F413E7"/>
    <w:rsid w:val="00F419BB"/>
    <w:rsid w:val="00F96935"/>
    <w:rsid w:val="00FB10BD"/>
    <w:rsid w:val="00FD444F"/>
    <w:rsid w:val="00FE612A"/>
    <w:rsid w:val="0F75123E"/>
    <w:rsid w:val="18406E7F"/>
    <w:rsid w:val="18597D7D"/>
    <w:rsid w:val="200B4E44"/>
    <w:rsid w:val="25217736"/>
    <w:rsid w:val="26454173"/>
    <w:rsid w:val="28666199"/>
    <w:rsid w:val="2A2E0C3A"/>
    <w:rsid w:val="3C113A08"/>
    <w:rsid w:val="3D831573"/>
    <w:rsid w:val="427C6F3E"/>
    <w:rsid w:val="43710E6C"/>
    <w:rsid w:val="43822092"/>
    <w:rsid w:val="53C5279D"/>
    <w:rsid w:val="54935AB9"/>
    <w:rsid w:val="566740A5"/>
    <w:rsid w:val="5B1B1E1C"/>
    <w:rsid w:val="64FD3B03"/>
    <w:rsid w:val="68A506D5"/>
    <w:rsid w:val="75F57D60"/>
    <w:rsid w:val="7A874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semiHidden/>
    <w:unhideWhenUsed/>
    <w:qFormat/>
    <w:uiPriority w:val="9"/>
    <w:pPr>
      <w:spacing w:beforeAutospacing="1" w:afterAutospacing="1"/>
      <w:jc w:val="left"/>
      <w:outlineLvl w:val="2"/>
    </w:pPr>
    <w:rPr>
      <w:rFonts w:hint="eastAsia" w:ascii="宋体" w:hAnsi="宋体"/>
      <w:b/>
      <w:bCs/>
      <w:kern w:val="0"/>
      <w:sz w:val="27"/>
      <w:szCs w:val="27"/>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character" w:customStyle="1" w:styleId="11">
    <w:name w:val="批注框文本 字符"/>
    <w:basedOn w:val="7"/>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F8679-494D-4CAD-8393-1A24E2DC9F1D}">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3</Pages>
  <Words>3256</Words>
  <Characters>3382</Characters>
  <Lines>77</Lines>
  <Paragraphs>28</Paragraphs>
  <TotalTime>25</TotalTime>
  <ScaleCrop>false</ScaleCrop>
  <LinksUpToDate>false</LinksUpToDate>
  <CharactersWithSpaces>3391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2024-05-24T07:04:00Z</dcterms:created>
  <dc:creator>Microsoft</dc:creator>
  <cp:lastModifiedBy>李世鑫</cp:lastModifiedBy>
  <cp:lastPrinted>2017-05-24T18:56:00Z</cp:lastPrinted>
  <dcterms:modified xsi:type="dcterms:W3CDTF">2026-05-12T01:17:58Z</dcterms:modifi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E0D2B1C0E1E445E0B1F0DC9293E42233_13</vt:lpwstr>
  </property>
  <property fmtid="{D5CDD505-2E9C-101B-9397-08002B2CF9AE}" pid="4" name="KSOTemplateDocerSaveRecord">
    <vt:lpwstr>eyJoZGlkIjoiYzA4N2Y4YzI4NGZkM2RiY2NlMTUwNmQ1ZWIxNTY5MTMiLCJ1c2VySWQiOiIzODk5OTgyNjkifQ==</vt:lpwstr>
  </property>
</Properties>
</file>