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2026年暑期社会实践“揭榜挂帅”榜单征集表</w:t>
      </w:r>
    </w:p>
    <w:tbl>
      <w:tblPr>
        <w:tblStyle w:val="7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榜单名称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草业赋能边疆-青春守护国土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spacing w:line="320" w:lineRule="exact"/>
              <w:ind w:firstLine="352" w:firstLineChars="147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草业与草原学院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spacing w:line="320" w:lineRule="exact"/>
              <w:ind w:firstLine="352" w:firstLineChars="147"/>
              <w:jc w:val="center"/>
              <w:rPr>
                <w:rFonts w:ascii="仿宋_GB2312" w:hAnsi="仿宋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□是      ☑否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spacing w:line="320" w:lineRule="exact"/>
              <w:ind w:firstLine="352" w:firstLineChars="147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如勾选“是”，请在此栏填写联合出题单位名称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spacing w:line="3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草学类、马克思主义研究等</w:t>
            </w:r>
          </w:p>
        </w:tc>
        <w:tc>
          <w:tcPr>
            <w:tcW w:w="1981" w:type="dxa"/>
            <w:vAlign w:val="center"/>
          </w:tcPr>
          <w:p w14:paraId="03C49A0F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2026.7-2026.8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西藏林芝、阿里</w:t>
            </w:r>
          </w:p>
        </w:tc>
        <w:tc>
          <w:tcPr>
            <w:tcW w:w="1981" w:type="dxa"/>
            <w:vAlign w:val="center"/>
          </w:tcPr>
          <w:p w14:paraId="3D9E0914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6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人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□是（请简要说明） ☑否</w:t>
            </w:r>
          </w:p>
        </w:tc>
        <w:tc>
          <w:tcPr>
            <w:tcW w:w="1981" w:type="dxa"/>
            <w:vAlign w:val="center"/>
          </w:tcPr>
          <w:p w14:paraId="2E405F68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2"/>
                <w:szCs w:val="28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</w:rPr>
              <w:t>匹配</w:t>
            </w:r>
            <w:r>
              <w:rPr>
                <w:rFonts w:ascii="仿宋_GB2312" w:hAnsi="仿宋" w:eastAsia="仿宋_GB2312"/>
                <w:sz w:val="22"/>
                <w:szCs w:val="28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pacing w:val="-34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</w:rPr>
              <w:t>李耀明</w:t>
            </w:r>
          </w:p>
        </w:tc>
        <w:tc>
          <w:tcPr>
            <w:tcW w:w="1397" w:type="dxa"/>
            <w:vAlign w:val="center"/>
          </w:tcPr>
          <w:p w14:paraId="645696E9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13401064151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pacing w:val="-34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spacing w:before="60" w:after="60"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——</w:t>
            </w:r>
            <w:bookmarkStart w:id="1" w:name="_GoBack"/>
            <w:bookmarkEnd w:id="1"/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</w:rPr>
              <w:t>（背景与现实需求）</w:t>
            </w:r>
          </w:p>
        </w:tc>
        <w:tc>
          <w:tcPr>
            <w:tcW w:w="8266" w:type="dxa"/>
            <w:gridSpan w:val="5"/>
          </w:tcPr>
          <w:p w14:paraId="0BAE0ABA">
            <w:pPr>
              <w:ind w:firstLine="420" w:firstLineChars="200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</w:rPr>
              <w:t>西藏边境县区地处国家生态安全屏障与边疆安全前沿，是“稳边、固边、强边”战略的重要支点。草牧业作为当地最基础、最广泛的生产方式，不仅是农牧民生计来源，更直接关系到</w:t>
            </w:r>
            <w:r>
              <w:rPr>
                <w:rFonts w:ascii="仿宋_GB2312" w:hAnsi="仿宋_GB2312" w:eastAsia="仿宋_GB2312" w:cs="仿宋_GB2312"/>
              </w:rPr>
              <w:t>边境地区人口稳定与乡村振兴</w:t>
            </w:r>
            <w:r>
              <w:rPr>
                <w:rFonts w:hint="eastAsia" w:ascii="仿宋_GB2312" w:hAnsi="仿宋_GB2312" w:eastAsia="仿宋_GB2312" w:cs="仿宋_GB2312"/>
              </w:rPr>
              <w:t>和</w:t>
            </w:r>
            <w:r>
              <w:rPr>
                <w:rFonts w:ascii="仿宋_GB2312" w:hAnsi="仿宋_GB2312" w:eastAsia="仿宋_GB2312" w:cs="仿宋_GB2312"/>
              </w:rPr>
              <w:t>民族团结与社会稳定</w:t>
            </w:r>
            <w:r>
              <w:rPr>
                <w:rFonts w:hint="eastAsia" w:ascii="仿宋_GB2312" w:hAnsi="仿宋_GB2312" w:eastAsia="仿宋_GB2312" w:cs="仿宋_GB2312"/>
              </w:rPr>
              <w:t>。</w:t>
            </w:r>
            <w:r>
              <w:rPr>
                <w:rFonts w:ascii="仿宋_GB2312" w:hAnsi="仿宋_GB2312" w:eastAsia="仿宋_GB2312" w:cs="仿宋_GB2312"/>
              </w:rPr>
              <w:t>边境地区的特殊地理和政治环境，使得该区域的人口稳定、经济发展和生态保护具有高度战略敏感性。</w:t>
            </w:r>
            <w:r>
              <w:rPr>
                <w:rFonts w:hint="eastAsia" w:ascii="仿宋_GB2312" w:hAnsi="仿宋_GB2312" w:eastAsia="仿宋_GB2312" w:cs="仿宋_GB2312"/>
              </w:rPr>
              <w:t>本项目将充分结合“</w:t>
            </w:r>
            <w:r>
              <w:rPr>
                <w:rFonts w:ascii="仿宋_GB2312" w:hAnsi="仿宋_GB2312" w:eastAsia="仿宋_GB2312" w:cs="仿宋_GB2312"/>
              </w:rPr>
              <w:t>国家战略需求 + 专业优势</w:t>
            </w:r>
            <w:r>
              <w:rPr>
                <w:rFonts w:hint="eastAsia" w:ascii="仿宋_GB2312" w:hAnsi="仿宋_GB2312" w:eastAsia="仿宋_GB2312" w:cs="仿宋_GB2312"/>
              </w:rPr>
              <w:t>”、“</w:t>
            </w:r>
            <w:r>
              <w:rPr>
                <w:rFonts w:ascii="仿宋_GB2312" w:hAnsi="仿宋_GB2312" w:eastAsia="仿宋_GB2312" w:cs="仿宋_GB2312"/>
              </w:rPr>
              <w:t>理论研究 + 一线实践调研</w:t>
            </w:r>
            <w:r>
              <w:rPr>
                <w:rFonts w:hint="eastAsia" w:ascii="仿宋_GB2312" w:hAnsi="仿宋_GB2312" w:eastAsia="仿宋_GB2312" w:cs="仿宋_GB2312"/>
              </w:rPr>
              <w:t>”和“</w:t>
            </w:r>
            <w:r>
              <w:rPr>
                <w:rFonts w:ascii="仿宋_GB2312" w:hAnsi="仿宋_GB2312" w:eastAsia="仿宋_GB2312" w:cs="仿宋_GB2312"/>
              </w:rPr>
              <w:t>人才培养 + 社会服务</w:t>
            </w:r>
            <w:r>
              <w:rPr>
                <w:rFonts w:hint="eastAsia" w:ascii="仿宋_GB2312" w:hAnsi="仿宋_GB2312" w:eastAsia="仿宋_GB2312" w:cs="仿宋_GB2312"/>
              </w:rPr>
              <w:t>”，重点突出草牧业在</w:t>
            </w:r>
            <w:r>
              <w:rPr>
                <w:rFonts w:ascii="仿宋_GB2312" w:hAnsi="仿宋_GB2312" w:eastAsia="仿宋_GB2312" w:cs="仿宋_GB2312"/>
              </w:rPr>
              <w:t>促进边境人口“留得住、稳得住”</w:t>
            </w:r>
            <w:r>
              <w:rPr>
                <w:rFonts w:hint="eastAsia" w:ascii="仿宋_GB2312" w:hAnsi="仿宋_GB2312" w:eastAsia="仿宋_GB2312" w:cs="仿宋_GB2312"/>
              </w:rPr>
              <w:t>，</w:t>
            </w:r>
            <w:r>
              <w:rPr>
                <w:rFonts w:ascii="仿宋_GB2312" w:hAnsi="仿宋_GB2312" w:eastAsia="仿宋_GB2312" w:cs="仿宋_GB2312"/>
              </w:rPr>
              <w:t>提升边境地区自我发展能力</w:t>
            </w:r>
            <w:r>
              <w:rPr>
                <w:rFonts w:hint="eastAsia" w:ascii="仿宋_GB2312" w:hAnsi="仿宋_GB2312" w:eastAsia="仿宋_GB2312" w:cs="仿宋_GB2312"/>
              </w:rPr>
              <w:t>，</w:t>
            </w:r>
            <w:r>
              <w:rPr>
                <w:rFonts w:ascii="仿宋_GB2312" w:hAnsi="仿宋_GB2312" w:eastAsia="仿宋_GB2312" w:cs="仿宋_GB2312"/>
              </w:rPr>
              <w:t>构建生态安全与经济发展协同体系</w:t>
            </w:r>
            <w:r>
              <w:rPr>
                <w:rFonts w:hint="eastAsia" w:ascii="仿宋_GB2312" w:hAnsi="仿宋_GB2312" w:eastAsia="仿宋_GB2312" w:cs="仿宋_GB2312"/>
              </w:rPr>
              <w:t>等方面的支撑作用。因此，项目既是落实“绿水青山就是金山银山”理念的具体行动，也是将专业学习与国防教育、家国情怀培育深度融合的重要载体，同时为西藏边境县草原生态治理、草产业发展提供智力支持与技术服务，践行高校服务国家战略、助力边疆建设的社会责任，进一步提升学校在生态保护与强边兴边领域的社会影响力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15B1F077">
            <w:pPr>
              <w:adjustRightInd w:val="0"/>
              <w:snapToGrid w:val="0"/>
              <w:spacing w:line="276" w:lineRule="auto"/>
              <w:ind w:firstLine="420" w:firstLineChars="200"/>
              <w:rPr>
                <w:rFonts w:ascii="仿宋_GB2312" w:hAnsi="仿宋_GB2312" w:eastAsia="仿宋_GB2312" w:cs="仿宋_GB2312"/>
              </w:rPr>
            </w:pPr>
            <w:bookmarkStart w:id="0" w:name="heading_5"/>
            <w:r>
              <w:rPr>
                <w:rFonts w:hint="eastAsia" w:ascii="仿宋_GB2312" w:hAnsi="仿宋_GB2312" w:eastAsia="仿宋_GB2312" w:cs="仿宋_GB2312"/>
              </w:rPr>
              <w:t>本项目将系统调研西藏边境县区草牧业发展现状，分析存在问题，提出可行性发展路径与政策建议，为服务国家边疆治理与生态安全提供决策参考。具体任务内容如下：</w:t>
            </w:r>
          </w:p>
          <w:bookmarkEnd w:id="0"/>
          <w:p w14:paraId="50B26808">
            <w:pPr>
              <w:pStyle w:val="13"/>
              <w:widowControl/>
              <w:numPr>
                <w:ilvl w:val="0"/>
                <w:numId w:val="1"/>
              </w:numPr>
              <w:adjustRightInd w:val="0"/>
              <w:snapToGrid w:val="0"/>
              <w:spacing w:line="276" w:lineRule="auto"/>
              <w:ind w:firstLineChars="0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草地资源与生态现状调查</w:t>
            </w:r>
          </w:p>
          <w:p w14:paraId="674DEA06">
            <w:pPr>
              <w:widowControl/>
              <w:adjustRightInd w:val="0"/>
              <w:snapToGrid w:val="0"/>
              <w:spacing w:line="276" w:lineRule="auto"/>
              <w:ind w:firstLine="449" w:firstLineChars="214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对</w:t>
            </w:r>
            <w:r>
              <w:rPr>
                <w:rFonts w:hint="eastAsia" w:ascii="仿宋_GB2312" w:hAnsi="仿宋_GB2312" w:eastAsia="仿宋_GB2312" w:cs="仿宋_GB2312"/>
              </w:rPr>
              <w:t>西藏典型</w:t>
            </w:r>
            <w:r>
              <w:rPr>
                <w:rFonts w:ascii="仿宋_GB2312" w:hAnsi="仿宋_GB2312" w:eastAsia="仿宋_GB2312" w:cs="仿宋_GB2312"/>
              </w:rPr>
              <w:t>边境县区的草地类型、分布及质量进行实地调查</w:t>
            </w:r>
          </w:p>
          <w:p w14:paraId="3317D055">
            <w:pPr>
              <w:widowControl/>
              <w:adjustRightInd w:val="0"/>
              <w:snapToGrid w:val="0"/>
              <w:spacing w:line="276" w:lineRule="auto"/>
              <w:ind w:firstLine="449" w:firstLineChars="214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评估草地退化状况及生态脆弱性</w:t>
            </w:r>
          </w:p>
          <w:p w14:paraId="33A012CA">
            <w:pPr>
              <w:widowControl/>
              <w:adjustRightInd w:val="0"/>
              <w:snapToGrid w:val="0"/>
              <w:spacing w:line="276" w:lineRule="auto"/>
              <w:ind w:firstLine="449" w:firstLineChars="214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记录草地管理和保护措施现状</w:t>
            </w:r>
          </w:p>
          <w:p w14:paraId="1EFD94EB">
            <w:pPr>
              <w:pStyle w:val="13"/>
              <w:widowControl/>
              <w:numPr>
                <w:ilvl w:val="0"/>
                <w:numId w:val="1"/>
              </w:numPr>
              <w:adjustRightInd w:val="0"/>
              <w:snapToGrid w:val="0"/>
              <w:spacing w:line="276" w:lineRule="auto"/>
              <w:ind w:firstLineChars="0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草牧业生产体系调研</w:t>
            </w:r>
          </w:p>
          <w:p w14:paraId="0146C46E">
            <w:pPr>
              <w:widowControl/>
              <w:adjustRightInd w:val="0"/>
              <w:snapToGrid w:val="0"/>
              <w:spacing w:line="276" w:lineRule="auto"/>
              <w:ind w:firstLine="449" w:firstLineChars="214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调查当地牧民的放牧方式、畜种结构及饲草供给情况</w:t>
            </w:r>
          </w:p>
          <w:p w14:paraId="12EA6743">
            <w:pPr>
              <w:widowControl/>
              <w:adjustRightInd w:val="0"/>
              <w:snapToGrid w:val="0"/>
              <w:spacing w:line="276" w:lineRule="auto"/>
              <w:ind w:firstLine="449" w:firstLineChars="214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分析草牧业产业链及其对牧民收入的支撑作用</w:t>
            </w:r>
          </w:p>
          <w:p w14:paraId="45882AC4">
            <w:pPr>
              <w:widowControl/>
              <w:adjustRightInd w:val="0"/>
              <w:snapToGrid w:val="0"/>
              <w:spacing w:line="276" w:lineRule="auto"/>
              <w:ind w:firstLine="449" w:firstLineChars="214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收集可持续发展和产业优化案例</w:t>
            </w:r>
          </w:p>
          <w:p w14:paraId="13DD73BD">
            <w:pPr>
              <w:pStyle w:val="13"/>
              <w:widowControl/>
              <w:numPr>
                <w:ilvl w:val="0"/>
                <w:numId w:val="1"/>
              </w:numPr>
              <w:adjustRightInd w:val="0"/>
              <w:snapToGrid w:val="0"/>
              <w:spacing w:line="276" w:lineRule="auto"/>
              <w:ind w:firstLineChars="0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边疆人口稳定与社会发展分析</w:t>
            </w:r>
          </w:p>
          <w:p w14:paraId="31ADE33E">
            <w:pPr>
              <w:widowControl/>
              <w:adjustRightInd w:val="0"/>
              <w:snapToGrid w:val="0"/>
              <w:spacing w:line="276" w:lineRule="auto"/>
              <w:ind w:firstLine="449" w:firstLineChars="214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调研牧民家庭人口结构及青年流动情况</w:t>
            </w:r>
          </w:p>
          <w:p w14:paraId="76F3833C">
            <w:pPr>
              <w:widowControl/>
              <w:adjustRightInd w:val="0"/>
              <w:snapToGrid w:val="0"/>
              <w:spacing w:line="276" w:lineRule="auto"/>
              <w:ind w:firstLine="449" w:firstLineChars="214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分析草牧业对边境人口稳定的保障作用</w:t>
            </w:r>
          </w:p>
          <w:p w14:paraId="76FE7A19">
            <w:pPr>
              <w:widowControl/>
              <w:adjustRightInd w:val="0"/>
              <w:snapToGrid w:val="0"/>
              <w:spacing w:line="276" w:lineRule="auto"/>
              <w:ind w:firstLine="449" w:firstLineChars="214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探索牧民生活条件改善对社会治理和边防稳固的影响</w:t>
            </w:r>
          </w:p>
          <w:p w14:paraId="3E5C62CC">
            <w:pPr>
              <w:pStyle w:val="13"/>
              <w:widowControl/>
              <w:numPr>
                <w:ilvl w:val="0"/>
                <w:numId w:val="1"/>
              </w:numPr>
              <w:adjustRightInd w:val="0"/>
              <w:snapToGrid w:val="0"/>
              <w:spacing w:line="276" w:lineRule="auto"/>
              <w:ind w:firstLineChars="0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问题诊断与发展对策研究</w:t>
            </w:r>
          </w:p>
          <w:p w14:paraId="7946F529">
            <w:pPr>
              <w:widowControl/>
              <w:adjustRightInd w:val="0"/>
              <w:snapToGrid w:val="0"/>
              <w:spacing w:line="276" w:lineRule="auto"/>
              <w:ind w:firstLine="449" w:firstLineChars="214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综合实地调查数据，识别草牧业发展制约因素</w:t>
            </w:r>
          </w:p>
          <w:p w14:paraId="323829EB">
            <w:pPr>
              <w:widowControl/>
              <w:adjustRightInd w:val="0"/>
              <w:snapToGrid w:val="0"/>
              <w:spacing w:line="276" w:lineRule="auto"/>
              <w:ind w:firstLine="449" w:firstLineChars="214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提出可行的草牧业优化路径与生态保护方案</w:t>
            </w:r>
          </w:p>
          <w:p w14:paraId="2FACF84F">
            <w:pPr>
              <w:widowControl/>
              <w:adjustRightInd w:val="0"/>
              <w:snapToGrid w:val="0"/>
              <w:spacing w:line="276" w:lineRule="auto"/>
              <w:ind w:firstLine="449" w:firstLineChars="214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形成“草牧业支撑边疆稳固”的发展策略建议</w:t>
            </w:r>
          </w:p>
          <w:p w14:paraId="19BEC3AC">
            <w:pPr>
              <w:pStyle w:val="13"/>
              <w:widowControl/>
              <w:numPr>
                <w:ilvl w:val="0"/>
                <w:numId w:val="1"/>
              </w:numPr>
              <w:adjustRightInd w:val="0"/>
              <w:snapToGrid w:val="0"/>
              <w:spacing w:line="276" w:lineRule="auto"/>
              <w:ind w:firstLineChars="0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成果汇总与推广</w:t>
            </w:r>
          </w:p>
          <w:p w14:paraId="46655036">
            <w:pPr>
              <w:widowControl/>
              <w:adjustRightInd w:val="0"/>
              <w:snapToGrid w:val="0"/>
              <w:spacing w:line="276" w:lineRule="auto"/>
              <w:ind w:firstLine="449" w:firstLineChars="214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编制调研报告及政策建议书，形成决策参考</w:t>
            </w:r>
          </w:p>
          <w:p w14:paraId="37C30055">
            <w:pPr>
              <w:widowControl/>
              <w:adjustRightInd w:val="0"/>
              <w:snapToGrid w:val="0"/>
              <w:spacing w:line="276" w:lineRule="auto"/>
              <w:ind w:firstLine="449" w:firstLineChars="214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总结典型案例，推广可复制的草牧业发展模式</w:t>
            </w:r>
          </w:p>
          <w:p w14:paraId="7F9AC588">
            <w:pPr>
              <w:widowControl/>
              <w:adjustRightInd w:val="0"/>
              <w:snapToGrid w:val="0"/>
              <w:spacing w:line="276" w:lineRule="auto"/>
              <w:ind w:firstLine="449" w:firstLineChars="214"/>
              <w:jc w:val="lef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提升学生实践能力与边疆治理意识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预期成果</w:t>
            </w:r>
          </w:p>
        </w:tc>
        <w:tc>
          <w:tcPr>
            <w:tcW w:w="8266" w:type="dxa"/>
            <w:gridSpan w:val="5"/>
          </w:tcPr>
          <w:p w14:paraId="4A2BF983">
            <w:pPr>
              <w:widowControl/>
              <w:adjustRightInd w:val="0"/>
              <w:snapToGrid w:val="0"/>
              <w:spacing w:line="276" w:lineRule="auto"/>
              <w:ind w:firstLine="449" w:firstLineChars="214"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</w:rPr>
              <w:t>建立西藏边境县区草牧业基础数据库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形成《边疆地区草地状况调查报告》、《边疆地区社会发展状况调查报告》各一份，提出“草牧业支撑边疆稳固”的发展策略建议若干。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834" w:type="dxa"/>
            <w:vAlign w:val="center"/>
          </w:tcPr>
          <w:p w14:paraId="04D103B7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3939C6CE">
            <w:pPr>
              <w:ind w:firstLine="420" w:firstLineChars="200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</w:rPr>
              <w:t>学院可负责联系对接当地政府、林草局、西藏农牧大学等单位，可辅助联系当地群体，可以协调当地交通住宿，可以提供专业培训、安全培训和调研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基础知识</w:t>
            </w:r>
            <w:r>
              <w:rPr>
                <w:rFonts w:hint="eastAsia" w:ascii="仿宋_GB2312" w:hAnsi="仿宋_GB2312" w:eastAsia="仿宋_GB2312" w:cs="仿宋_GB2312"/>
              </w:rPr>
              <w:t>培训。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1834" w:type="dxa"/>
            <w:vAlign w:val="center"/>
          </w:tcPr>
          <w:p w14:paraId="1410E10A">
            <w:pPr>
              <w:spacing w:line="3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注意事项</w:t>
            </w:r>
          </w:p>
        </w:tc>
        <w:tc>
          <w:tcPr>
            <w:tcW w:w="8266" w:type="dxa"/>
            <w:gridSpan w:val="5"/>
          </w:tcPr>
          <w:p w14:paraId="3ED1F070">
            <w:pPr>
              <w:widowControl/>
              <w:spacing w:line="320" w:lineRule="exact"/>
              <w:ind w:firstLine="420" w:firstLineChars="200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外业风险：在边境乡镇典型草原区域开展植被调查，需要听从安排服从指挥；</w:t>
            </w:r>
          </w:p>
          <w:p w14:paraId="561106CB">
            <w:pPr>
              <w:widowControl/>
              <w:spacing w:line="320" w:lineRule="exact"/>
              <w:ind w:firstLine="420" w:firstLineChars="200"/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沟通风险：开展边民调研，边民多为少数民族，需要了解民族风俗并掌握一定谈话沟通技巧。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ascii="仿宋_GB2312" w:hAnsi="仿宋" w:eastAsia="仿宋_GB2312"/>
                <w:sz w:val="24"/>
                <w:szCs w:val="32"/>
              </w:rPr>
            </w:pPr>
          </w:p>
          <w:p w14:paraId="4E9CAC26">
            <w:pPr>
              <w:spacing w:line="520" w:lineRule="exact"/>
              <w:jc w:val="right"/>
              <w:rPr>
                <w:rFonts w:ascii="仿宋_GB2312" w:hAnsi="仿宋" w:eastAsia="仿宋_GB2312"/>
                <w:sz w:val="24"/>
                <w:szCs w:val="32"/>
              </w:rPr>
            </w:pPr>
          </w:p>
          <w:p w14:paraId="788A31D0">
            <w:pPr>
              <w:spacing w:line="520" w:lineRule="exact"/>
              <w:jc w:val="righ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52423C"/>
    <w:multiLevelType w:val="multilevel"/>
    <w:tmpl w:val="1B52423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3117B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1393F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90224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D7FA8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43C43"/>
    <w:rsid w:val="00B64CD9"/>
    <w:rsid w:val="00BA648C"/>
    <w:rsid w:val="00BB3B1A"/>
    <w:rsid w:val="00BE5C07"/>
    <w:rsid w:val="00C67644"/>
    <w:rsid w:val="00CB7B24"/>
    <w:rsid w:val="00DD48AB"/>
    <w:rsid w:val="00DD66A8"/>
    <w:rsid w:val="00E151A4"/>
    <w:rsid w:val="00E759FC"/>
    <w:rsid w:val="00EB0965"/>
    <w:rsid w:val="00F413E7"/>
    <w:rsid w:val="00F45D73"/>
    <w:rsid w:val="00F96935"/>
    <w:rsid w:val="00FB10BD"/>
    <w:rsid w:val="00FD444F"/>
    <w:rsid w:val="00FE612A"/>
    <w:rsid w:val="18406E7F"/>
    <w:rsid w:val="18597D7D"/>
    <w:rsid w:val="24624692"/>
    <w:rsid w:val="28095CF5"/>
    <w:rsid w:val="2BB96DB9"/>
    <w:rsid w:val="3C113A08"/>
    <w:rsid w:val="3D831573"/>
    <w:rsid w:val="403E7DBF"/>
    <w:rsid w:val="427C6F3E"/>
    <w:rsid w:val="43710E6C"/>
    <w:rsid w:val="43822092"/>
    <w:rsid w:val="566740A5"/>
    <w:rsid w:val="64FD3B03"/>
    <w:rsid w:val="68A506D5"/>
    <w:rsid w:val="6C104AD7"/>
    <w:rsid w:val="6F806C87"/>
    <w:rsid w:val="76C2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F0EDD-191D-432B-BC0F-C52CAF731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1275</Words>
  <Characters>1370</Characters>
  <Lines>10</Lines>
  <Paragraphs>2</Paragraphs>
  <TotalTime>47</TotalTime>
  <ScaleCrop>false</ScaleCrop>
  <LinksUpToDate>false</LinksUpToDate>
  <CharactersWithSpaces>1385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2026-04-08T07:16:00Z</dcterms:created>
  <dc:creator>Microsoft</dc:creator>
  <cp:lastModifiedBy>李世鑫</cp:lastModifiedBy>
  <cp:lastPrinted>2017-05-24T18:56:00Z</cp:lastPrinted>
  <dcterms:modified xsi:type="dcterms:W3CDTF">2026-05-12T01:19:26Z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9363BAC36686487F85F2AD17E723340F_13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