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9B4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jc w:val="center"/>
        <w:textAlignment w:val="auto"/>
        <w:rPr>
          <w:rFonts w:hint="eastAsia" w:ascii="小标宋" w:hAnsi="小标宋" w:eastAsia="小标宋" w:cs="小标宋"/>
          <w:color w:val="000000"/>
          <w:sz w:val="44"/>
          <w:szCs w:val="44"/>
        </w:rPr>
      </w:pPr>
      <w:r>
        <w:rPr>
          <w:rFonts w:hint="eastAsia" w:ascii="小标宋" w:hAnsi="小标宋" w:eastAsia="小标宋" w:cs="小标宋"/>
          <w:color w:val="000000"/>
          <w:sz w:val="44"/>
          <w:szCs w:val="44"/>
        </w:rPr>
        <w:t>北京林业大学材料科学与技术学院研究生评优量化考核办法修订说明</w:t>
      </w:r>
    </w:p>
    <w:p w14:paraId="6BC951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60" w:lineRule="exact"/>
        <w:ind w:left="0" w:right="0" w:firstLine="640" w:firstLineChars="200"/>
        <w:textAlignment w:val="auto"/>
        <w:rPr>
          <w:color w:val="000000"/>
          <w:sz w:val="32"/>
          <w:szCs w:val="32"/>
        </w:rPr>
      </w:pPr>
      <w:r>
        <w:rPr>
          <w:rFonts w:hint="eastAsia" w:ascii="黑体" w:hAnsi="黑体" w:eastAsia="黑体" w:cs="黑体"/>
          <w:b w:val="0"/>
          <w:bCs w:val="0"/>
          <w:color w:val="000000"/>
          <w:sz w:val="32"/>
          <w:szCs w:val="32"/>
        </w:rPr>
        <w:t>一、总则与执行时间</w:t>
      </w:r>
    </w:p>
    <w:p w14:paraId="6F3C3EE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1.</w:t>
      </w:r>
      <w:r>
        <w:rPr>
          <w:rFonts w:hint="eastAsia" w:ascii="仿宋_GB2312" w:hAnsi="仿宋_GB2312" w:eastAsia="仿宋_GB2312" w:cs="仿宋_GB2312"/>
          <w:b/>
          <w:bCs/>
          <w:color w:val="000000"/>
          <w:sz w:val="32"/>
          <w:szCs w:val="32"/>
        </w:rPr>
        <w:t>适用范围补充</w:t>
      </w:r>
    </w:p>
    <w:p w14:paraId="229082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直博生、硕博连读生、本博贯通培养研究生，自学籍注册为博士研究生当年9月起按博士研究生身份执行</w:t>
      </w:r>
      <w:r>
        <w:rPr>
          <w:rFonts w:hint="eastAsia" w:ascii="仿宋_GB2312" w:hAnsi="仿宋_GB2312" w:eastAsia="仿宋_GB2312" w:cs="仿宋_GB2312"/>
          <w:color w:val="000000"/>
          <w:sz w:val="32"/>
          <w:szCs w:val="32"/>
          <w:lang w:eastAsia="zh-CN"/>
        </w:rPr>
        <w:t>。</w:t>
      </w:r>
    </w:p>
    <w:p w14:paraId="7024BB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Style w:val="8"/>
          <w:rFonts w:hint="default" w:ascii="楷体_GB2312" w:hAnsi="楷体_GB2312" w:eastAsia="楷体_GB2312" w:cs="楷体_GB2312"/>
          <w:b w:val="0"/>
          <w:bCs/>
          <w:i w:val="0"/>
          <w:iCs w:val="0"/>
          <w:color w:val="FF0000"/>
          <w:sz w:val="32"/>
          <w:szCs w:val="32"/>
          <w:lang w:val="en-US" w:eastAsia="zh-CN"/>
        </w:rPr>
      </w:pPr>
      <w:r>
        <w:rPr>
          <w:rStyle w:val="8"/>
          <w:rFonts w:hint="eastAsia" w:ascii="楷体_GB2312" w:hAnsi="楷体_GB2312" w:eastAsia="楷体_GB2312" w:cs="楷体_GB2312"/>
          <w:b w:val="0"/>
          <w:bCs/>
          <w:i w:val="0"/>
          <w:iCs w:val="0"/>
          <w:color w:val="FF0000"/>
          <w:sz w:val="32"/>
          <w:szCs w:val="32"/>
          <w:lang w:val="en-US" w:eastAsia="zh-CN"/>
        </w:rPr>
        <w:t>修订原因：依据学校评优上位文件，进一步明确本硕博贯通、直博类研究生评优考核身份认定标准，统一执行口径。</w:t>
      </w:r>
    </w:p>
    <w:p w14:paraId="52F8E5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2"/>
          <w:sz w:val="32"/>
          <w:szCs w:val="32"/>
          <w:lang w:val="en-US" w:eastAsia="zh-CN" w:bidi="ar-SA"/>
        </w:rPr>
        <w:t>2.办法</w:t>
      </w:r>
      <w:r>
        <w:rPr>
          <w:rFonts w:hint="eastAsia" w:ascii="仿宋_GB2312" w:hAnsi="仿宋_GB2312" w:eastAsia="仿宋_GB2312" w:cs="仿宋_GB2312"/>
          <w:b/>
          <w:bCs/>
          <w:color w:val="000000"/>
          <w:sz w:val="32"/>
          <w:szCs w:val="32"/>
        </w:rPr>
        <w:t>执行时间</w:t>
      </w:r>
    </w:p>
    <w:p w14:paraId="7BA6A8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2026年修订</w:t>
      </w:r>
      <w:r>
        <w:rPr>
          <w:rFonts w:hint="eastAsia" w:ascii="仿宋_GB2312" w:hAnsi="仿宋_GB2312" w:eastAsia="仿宋_GB2312" w:cs="仿宋_GB2312"/>
          <w:color w:val="000000"/>
          <w:sz w:val="32"/>
          <w:szCs w:val="32"/>
        </w:rPr>
        <w:t>版</w:t>
      </w:r>
      <w:r>
        <w:rPr>
          <w:rFonts w:hint="eastAsia" w:ascii="仿宋_GB2312" w:hAnsi="仿宋_GB2312" w:eastAsia="仿宋_GB2312" w:cs="仿宋_GB2312"/>
          <w:color w:val="000000"/>
          <w:sz w:val="32"/>
          <w:szCs w:val="32"/>
          <w:lang w:val="en-US" w:eastAsia="zh-CN"/>
        </w:rPr>
        <w:t>考核办法，</w:t>
      </w:r>
      <w:r>
        <w:rPr>
          <w:rFonts w:hint="eastAsia" w:ascii="仿宋_GB2312" w:hAnsi="仿宋_GB2312" w:eastAsia="仿宋_GB2312" w:cs="仿宋_GB2312"/>
          <w:color w:val="000000"/>
          <w:sz w:val="32"/>
          <w:szCs w:val="32"/>
        </w:rPr>
        <w:t>自</w:t>
      </w:r>
      <w:r>
        <w:rPr>
          <w:rStyle w:val="8"/>
          <w:rFonts w:hint="eastAsia" w:ascii="仿宋_GB2312" w:hAnsi="仿宋_GB2312" w:eastAsia="仿宋_GB2312" w:cs="仿宋_GB2312"/>
          <w:color w:val="000000"/>
          <w:sz w:val="32"/>
          <w:szCs w:val="32"/>
        </w:rPr>
        <w:t>2026-2027学年</w:t>
      </w:r>
      <w:r>
        <w:rPr>
          <w:rFonts w:hint="eastAsia" w:ascii="仿宋_GB2312" w:hAnsi="仿宋_GB2312" w:eastAsia="仿宋_GB2312" w:cs="仿宋_GB2312"/>
          <w:color w:val="000000"/>
          <w:sz w:val="32"/>
          <w:szCs w:val="32"/>
          <w:lang w:val="en-US" w:eastAsia="zh-CN"/>
        </w:rPr>
        <w:t>正式施行</w:t>
      </w:r>
      <w:r>
        <w:rPr>
          <w:rFonts w:hint="eastAsia" w:ascii="仿宋_GB2312" w:hAnsi="仿宋_GB2312" w:eastAsia="仿宋_GB2312" w:cs="仿宋_GB2312"/>
          <w:color w:val="000000"/>
          <w:sz w:val="32"/>
          <w:szCs w:val="32"/>
        </w:rPr>
        <w:t>。</w:t>
      </w:r>
    </w:p>
    <w:p w14:paraId="0F67500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default" w:ascii="仿宋_GB2312" w:hAnsi="仿宋_GB2312" w:eastAsia="仿宋_GB2312" w:cs="仿宋_GB2312"/>
          <w:color w:val="000000"/>
          <w:sz w:val="32"/>
          <w:szCs w:val="32"/>
          <w:lang w:val="en-US"/>
        </w:rPr>
      </w:pPr>
      <w:r>
        <w:rPr>
          <w:rStyle w:val="8"/>
          <w:rFonts w:hint="eastAsia" w:ascii="楷体_GB2312" w:hAnsi="楷体_GB2312" w:eastAsia="楷体_GB2312" w:cs="楷体_GB2312"/>
          <w:b w:val="0"/>
          <w:bCs/>
          <w:i w:val="0"/>
          <w:iCs w:val="0"/>
          <w:color w:val="FF0000"/>
          <w:sz w:val="32"/>
          <w:szCs w:val="32"/>
          <w:lang w:val="en-US" w:eastAsia="zh-CN"/>
        </w:rPr>
        <w:t>修订原因：评优成果认定周期为每年9月1日至次年8月31日；本修订办法2026年6月发布，仅适用于2027年度研究生评优综合素质核算，2026年度评优仍沿用2023年修订版办法。</w:t>
      </w:r>
    </w:p>
    <w:p w14:paraId="7E912A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60" w:lineRule="exact"/>
        <w:ind w:left="0" w:right="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二、</w:t>
      </w:r>
      <w:r>
        <w:rPr>
          <w:rFonts w:hint="eastAsia" w:ascii="黑体" w:hAnsi="黑体" w:eastAsia="黑体" w:cs="黑体"/>
          <w:b w:val="0"/>
          <w:bCs w:val="0"/>
          <w:color w:val="000000"/>
          <w:sz w:val="32"/>
          <w:szCs w:val="32"/>
          <w:lang w:val="en-US" w:eastAsia="zh-CN"/>
        </w:rPr>
        <w:t>博士研究生</w:t>
      </w:r>
      <w:r>
        <w:rPr>
          <w:rFonts w:hint="eastAsia" w:ascii="黑体" w:hAnsi="黑体" w:eastAsia="黑体" w:cs="黑体"/>
          <w:b w:val="0"/>
          <w:bCs w:val="0"/>
          <w:color w:val="000000"/>
          <w:sz w:val="32"/>
          <w:szCs w:val="32"/>
        </w:rPr>
        <w:t>综合成绩计算公式调整</w:t>
      </w:r>
    </w:p>
    <w:p w14:paraId="6A7EBF2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旧版博士综合成绩仅按Q=Q2+P计算，新版</w:t>
      </w:r>
      <w:r>
        <w:rPr>
          <w:rFonts w:hint="eastAsia" w:ascii="仿宋_GB2312" w:hAnsi="仿宋_GB2312" w:eastAsia="仿宋_GB2312" w:cs="仿宋_GB2312"/>
          <w:color w:val="000000"/>
          <w:sz w:val="32"/>
          <w:szCs w:val="32"/>
        </w:rPr>
        <w:t>调整为</w:t>
      </w:r>
      <w:r>
        <w:rPr>
          <w:rFonts w:hint="eastAsia" w:ascii="仿宋_GB2312" w:hAnsi="仿宋_GB2312" w:eastAsia="仿宋_GB2312" w:cs="仿宋_GB2312"/>
          <w:color w:val="000000"/>
          <w:sz w:val="32"/>
          <w:szCs w:val="32"/>
          <w:lang w:val="en-US" w:eastAsia="zh-CN"/>
        </w:rPr>
        <w:t>Q=0.9*Q2+0.1*Q3+P</w:t>
      </w:r>
    </w:p>
    <w:p w14:paraId="1B3D77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color w:val="000000"/>
          <w:sz w:val="32"/>
          <w:szCs w:val="32"/>
        </w:rPr>
      </w:pPr>
      <w:r>
        <w:rPr>
          <w:rStyle w:val="8"/>
          <w:rFonts w:hint="eastAsia" w:ascii="楷体_GB2312" w:hAnsi="楷体_GB2312" w:eastAsia="楷体_GB2312" w:cs="楷体_GB2312"/>
          <w:b w:val="0"/>
          <w:bCs/>
          <w:i w:val="0"/>
          <w:iCs w:val="0"/>
          <w:color w:val="FF0000"/>
          <w:sz w:val="32"/>
          <w:szCs w:val="32"/>
          <w:lang w:val="en-US" w:eastAsia="zh-CN"/>
        </w:rPr>
        <w:t>修订原因：契合国家奖学金“品学兼优、全面发展、榜样引领”评选导向。旧版博士考核仅侧重学术成绩，评价维度单一；新版引入公益及社会活动得分Q3，合理设置学术成绩与综合表现权重，兼顾科研能力与综合素质全面评价。</w:t>
      </w:r>
    </w:p>
    <w:p w14:paraId="61FE7DD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color w:val="000000"/>
          <w:sz w:val="32"/>
          <w:szCs w:val="32"/>
        </w:rPr>
        <w:sectPr>
          <w:pgSz w:w="11906" w:h="16838"/>
          <w:pgMar w:top="1440" w:right="1800" w:bottom="1440" w:left="1800" w:header="851" w:footer="992" w:gutter="0"/>
          <w:cols w:space="425" w:num="1"/>
          <w:docGrid w:type="lines" w:linePitch="312" w:charSpace="0"/>
        </w:sectPr>
      </w:pPr>
    </w:p>
    <w:p w14:paraId="31616A1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b w:val="0"/>
          <w:bCs w:val="0"/>
          <w:color w:val="000000"/>
          <w:sz w:val="32"/>
          <w:szCs w:val="32"/>
        </w:rPr>
        <w:t>三、Q2学术成绩</w:t>
      </w:r>
      <w:r>
        <w:rPr>
          <w:rFonts w:hint="eastAsia" w:ascii="黑体" w:hAnsi="黑体" w:eastAsia="黑体" w:cs="黑体"/>
          <w:b w:val="0"/>
          <w:bCs w:val="0"/>
          <w:color w:val="000000"/>
          <w:sz w:val="32"/>
          <w:szCs w:val="32"/>
          <w:lang w:val="en-US" w:eastAsia="zh-CN"/>
        </w:rPr>
        <w:t>板块：</w:t>
      </w:r>
      <w:r>
        <w:rPr>
          <w:rFonts w:hint="eastAsia" w:ascii="仿宋_GB2312" w:hAnsi="仿宋_GB2312" w:eastAsia="仿宋_GB2312" w:cs="仿宋_GB2312"/>
          <w:color w:val="000000"/>
          <w:sz w:val="32"/>
          <w:szCs w:val="32"/>
        </w:rPr>
        <w:t>SCI</w:t>
      </w:r>
      <w:r>
        <w:rPr>
          <w:rFonts w:hint="eastAsia" w:ascii="仿宋_GB2312" w:hAnsi="仿宋_GB2312" w:eastAsia="仿宋_GB2312" w:cs="仿宋_GB2312"/>
          <w:color w:val="000000"/>
          <w:sz w:val="32"/>
          <w:szCs w:val="32"/>
          <w:lang w:val="en-US" w:eastAsia="zh-CN"/>
        </w:rPr>
        <w:t>一区</w:t>
      </w:r>
      <w:r>
        <w:rPr>
          <w:rFonts w:hint="eastAsia" w:ascii="仿宋_GB2312" w:hAnsi="仿宋_GB2312" w:eastAsia="仿宋_GB2312" w:cs="仿宋_GB2312"/>
          <w:color w:val="000000"/>
          <w:sz w:val="32"/>
          <w:szCs w:val="32"/>
        </w:rPr>
        <w:t>论文加分标准</w:t>
      </w:r>
      <w:r>
        <w:rPr>
          <w:rFonts w:hint="eastAsia" w:ascii="仿宋_GB2312" w:hAnsi="仿宋_GB2312" w:eastAsia="仿宋_GB2312" w:cs="仿宋_GB2312"/>
          <w:color w:val="000000"/>
          <w:sz w:val="32"/>
          <w:szCs w:val="32"/>
          <w:lang w:val="en-US" w:eastAsia="zh-CN"/>
        </w:rPr>
        <w:t>优化</w:t>
      </w:r>
    </w:p>
    <w:p w14:paraId="32220C5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旧版对SCI一区论文实行统一分值加分；新版按期刊学术影响力、分区及影响因子对一区期刊精细分层、差异化赋分：</w:t>
      </w:r>
      <w:bookmarkStart w:id="0" w:name="_GoBack"/>
      <w:bookmarkEnd w:id="0"/>
    </w:p>
    <w:p w14:paraId="4034A30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Style w:val="8"/>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1.</w:t>
      </w:r>
      <w:r>
        <w:rPr>
          <w:rStyle w:val="8"/>
          <w:rFonts w:hint="eastAsia" w:ascii="仿宋_GB2312" w:hAnsi="仿宋_GB2312" w:eastAsia="仿宋_GB2312" w:cs="仿宋_GB2312"/>
          <w:b w:val="0"/>
          <w:bCs w:val="0"/>
          <w:color w:val="000000"/>
          <w:sz w:val="32"/>
          <w:szCs w:val="32"/>
        </w:rPr>
        <w:t>一区 CNS正刊</w:t>
      </w:r>
      <w:r>
        <w:rPr>
          <w:rStyle w:val="8"/>
          <w:rFonts w:hint="eastAsia" w:ascii="仿宋_GB2312" w:hAnsi="仿宋_GB2312" w:eastAsia="仿宋_GB2312" w:cs="仿宋_GB2312"/>
          <w:b w:val="0"/>
          <w:bCs w:val="0"/>
          <w:color w:val="000000"/>
          <w:sz w:val="32"/>
          <w:szCs w:val="32"/>
          <w:lang w:val="en-US" w:eastAsia="zh-CN"/>
        </w:rPr>
        <w:t>研究</w:t>
      </w:r>
      <w:r>
        <w:rPr>
          <w:rStyle w:val="8"/>
          <w:rFonts w:hint="eastAsia" w:ascii="仿宋_GB2312" w:hAnsi="仿宋_GB2312" w:eastAsia="仿宋_GB2312" w:cs="仿宋_GB2312"/>
          <w:b w:val="0"/>
          <w:bCs w:val="0"/>
          <w:color w:val="000000"/>
          <w:sz w:val="32"/>
          <w:szCs w:val="32"/>
        </w:rPr>
        <w:t>论文</w:t>
      </w:r>
      <w:r>
        <w:rPr>
          <w:rStyle w:val="8"/>
          <w:rFonts w:hint="eastAsia" w:ascii="仿宋_GB2312" w:hAnsi="仿宋_GB2312" w:eastAsia="仿宋_GB2312" w:cs="仿宋_GB2312"/>
          <w:b w:val="0"/>
          <w:bCs w:val="0"/>
          <w:color w:val="000000"/>
          <w:sz w:val="32"/>
          <w:szCs w:val="32"/>
          <w:lang w:eastAsia="zh-CN"/>
        </w:rPr>
        <w:t>：</w:t>
      </w:r>
      <w:r>
        <w:rPr>
          <w:rStyle w:val="8"/>
          <w:rFonts w:hint="eastAsia" w:ascii="仿宋_GB2312" w:hAnsi="仿宋_GB2312" w:eastAsia="仿宋_GB2312" w:cs="仿宋_GB2312"/>
          <w:b w:val="0"/>
          <w:bCs w:val="0"/>
          <w:color w:val="000000"/>
          <w:sz w:val="32"/>
          <w:szCs w:val="32"/>
        </w:rPr>
        <w:t>基础分100/篇，附加分 100/篇；</w:t>
      </w:r>
    </w:p>
    <w:p w14:paraId="2DA285F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2.</w:t>
      </w:r>
      <w:r>
        <w:rPr>
          <w:rStyle w:val="8"/>
          <w:rFonts w:hint="eastAsia" w:ascii="仿宋_GB2312" w:hAnsi="仿宋_GB2312" w:eastAsia="仿宋_GB2312" w:cs="仿宋_GB2312"/>
          <w:b w:val="0"/>
          <w:bCs w:val="0"/>
          <w:color w:val="000000"/>
          <w:sz w:val="32"/>
          <w:szCs w:val="32"/>
        </w:rPr>
        <w:t>一区NS子刊及</w:t>
      </w:r>
      <w:r>
        <w:rPr>
          <w:rStyle w:val="8"/>
          <w:rFonts w:hint="eastAsia" w:ascii="仿宋_GB2312" w:hAnsi="仿宋_GB2312" w:eastAsia="仿宋_GB2312" w:cs="仿宋_GB2312"/>
          <w:b w:val="0"/>
          <w:bCs w:val="0"/>
          <w:color w:val="000000"/>
          <w:sz w:val="32"/>
          <w:szCs w:val="32"/>
          <w:lang w:eastAsia="zh-CN"/>
        </w:rPr>
        <w:t>《</w:t>
      </w:r>
      <w:r>
        <w:rPr>
          <w:rStyle w:val="8"/>
          <w:rFonts w:hint="eastAsia" w:ascii="仿宋_GB2312" w:hAnsi="仿宋_GB2312" w:eastAsia="仿宋_GB2312" w:cs="仿宋_GB2312"/>
          <w:b w:val="0"/>
          <w:bCs w:val="0"/>
          <w:color w:val="000000"/>
          <w:sz w:val="32"/>
          <w:szCs w:val="32"/>
        </w:rPr>
        <w:t>PNAS</w:t>
      </w:r>
      <w:r>
        <w:rPr>
          <w:rStyle w:val="8"/>
          <w:rFonts w:hint="eastAsia" w:ascii="仿宋_GB2312" w:hAnsi="仿宋_GB2312" w:eastAsia="仿宋_GB2312" w:cs="仿宋_GB2312"/>
          <w:b w:val="0"/>
          <w:bCs w:val="0"/>
          <w:color w:val="000000"/>
          <w:sz w:val="32"/>
          <w:szCs w:val="32"/>
          <w:lang w:eastAsia="zh-CN"/>
        </w:rPr>
        <w:t>》《</w:t>
      </w:r>
      <w:r>
        <w:rPr>
          <w:rStyle w:val="8"/>
          <w:rFonts w:hint="eastAsia" w:ascii="仿宋_GB2312" w:hAnsi="仿宋_GB2312" w:eastAsia="仿宋_GB2312" w:cs="仿宋_GB2312"/>
          <w:b w:val="0"/>
          <w:bCs w:val="0"/>
          <w:color w:val="000000"/>
          <w:sz w:val="32"/>
          <w:szCs w:val="32"/>
        </w:rPr>
        <w:t>JACS</w:t>
      </w:r>
      <w:r>
        <w:rPr>
          <w:rStyle w:val="8"/>
          <w:rFonts w:hint="eastAsia" w:ascii="仿宋_GB2312" w:hAnsi="仿宋_GB2312" w:eastAsia="仿宋_GB2312" w:cs="仿宋_GB2312"/>
          <w:b w:val="0"/>
          <w:bCs w:val="0"/>
          <w:color w:val="000000"/>
          <w:sz w:val="32"/>
          <w:szCs w:val="32"/>
          <w:lang w:eastAsia="zh-CN"/>
        </w:rPr>
        <w:t>》</w:t>
      </w:r>
      <w:r>
        <w:rPr>
          <w:rStyle w:val="8"/>
          <w:rFonts w:hint="eastAsia" w:ascii="仿宋_GB2312" w:hAnsi="仿宋_GB2312" w:eastAsia="仿宋_GB2312" w:cs="仿宋_GB2312"/>
          <w:b w:val="0"/>
          <w:bCs w:val="0"/>
          <w:color w:val="000000"/>
          <w:sz w:val="32"/>
          <w:szCs w:val="32"/>
        </w:rPr>
        <w:t>《Angew》</w:t>
      </w:r>
      <w:r>
        <w:rPr>
          <w:rStyle w:val="8"/>
          <w:rFonts w:hint="eastAsia" w:ascii="仿宋_GB2312" w:hAnsi="仿宋_GB2312" w:eastAsia="仿宋_GB2312" w:cs="仿宋_GB2312"/>
          <w:b w:val="0"/>
          <w:bCs w:val="0"/>
          <w:color w:val="000000"/>
          <w:sz w:val="32"/>
          <w:szCs w:val="32"/>
          <w:lang w:eastAsia="zh-CN"/>
        </w:rPr>
        <w:t>《</w:t>
      </w:r>
      <w:r>
        <w:rPr>
          <w:rStyle w:val="8"/>
          <w:rFonts w:hint="eastAsia" w:ascii="仿宋_GB2312" w:hAnsi="仿宋_GB2312" w:eastAsia="仿宋_GB2312" w:cs="仿宋_GB2312"/>
          <w:b w:val="0"/>
          <w:bCs w:val="0"/>
          <w:color w:val="000000"/>
          <w:sz w:val="32"/>
          <w:szCs w:val="32"/>
          <w:lang w:val="en-US" w:eastAsia="zh-CN"/>
        </w:rPr>
        <w:t>AM</w:t>
      </w:r>
      <w:r>
        <w:rPr>
          <w:rStyle w:val="8"/>
          <w:rFonts w:hint="eastAsia" w:ascii="仿宋_GB2312" w:hAnsi="仿宋_GB2312" w:eastAsia="仿宋_GB2312" w:cs="仿宋_GB2312"/>
          <w:b w:val="0"/>
          <w:bCs w:val="0"/>
          <w:color w:val="000000"/>
          <w:sz w:val="32"/>
          <w:szCs w:val="32"/>
          <w:lang w:eastAsia="zh-CN"/>
        </w:rPr>
        <w:t>》</w:t>
      </w:r>
      <w:r>
        <w:rPr>
          <w:rStyle w:val="8"/>
          <w:rFonts w:hint="eastAsia" w:ascii="仿宋_GB2312" w:hAnsi="仿宋_GB2312" w:eastAsia="仿宋_GB2312" w:cs="仿宋_GB2312"/>
          <w:b w:val="0"/>
          <w:bCs w:val="0"/>
          <w:color w:val="000000"/>
          <w:sz w:val="32"/>
          <w:szCs w:val="32"/>
          <w:lang w:val="en-US" w:eastAsia="zh-CN"/>
        </w:rPr>
        <w:t>论文基础分90</w:t>
      </w:r>
      <w:r>
        <w:rPr>
          <w:rStyle w:val="8"/>
          <w:rFonts w:hint="eastAsia" w:ascii="仿宋_GB2312" w:hAnsi="仿宋_GB2312" w:eastAsia="仿宋_GB2312" w:cs="仿宋_GB2312"/>
          <w:b w:val="0"/>
          <w:bCs w:val="0"/>
          <w:color w:val="000000"/>
          <w:sz w:val="32"/>
          <w:szCs w:val="32"/>
        </w:rPr>
        <w:t>分/篇、其中《Nature》《Science》影响因子≥20的子刊论文，附加分50/篇；《Nature》《Science》影响因子＜20的子刊论文及《PNAS》《JACS》《Angew》</w:t>
      </w:r>
      <w:r>
        <w:rPr>
          <w:rStyle w:val="8"/>
          <w:rFonts w:hint="eastAsia" w:ascii="仿宋_GB2312" w:hAnsi="仿宋_GB2312" w:eastAsia="仿宋_GB2312" w:cs="仿宋_GB2312"/>
          <w:b w:val="0"/>
          <w:bCs w:val="0"/>
          <w:color w:val="000000"/>
          <w:sz w:val="32"/>
          <w:szCs w:val="32"/>
          <w:lang w:eastAsia="zh-CN"/>
        </w:rPr>
        <w:t>《</w:t>
      </w:r>
      <w:r>
        <w:rPr>
          <w:rStyle w:val="8"/>
          <w:rFonts w:hint="eastAsia" w:ascii="仿宋_GB2312" w:hAnsi="仿宋_GB2312" w:eastAsia="仿宋_GB2312" w:cs="仿宋_GB2312"/>
          <w:b w:val="0"/>
          <w:bCs w:val="0"/>
          <w:color w:val="000000"/>
          <w:sz w:val="32"/>
          <w:szCs w:val="32"/>
          <w:lang w:val="en-US" w:eastAsia="zh-CN"/>
        </w:rPr>
        <w:t>AM</w:t>
      </w:r>
      <w:r>
        <w:rPr>
          <w:rStyle w:val="8"/>
          <w:rFonts w:hint="eastAsia" w:ascii="仿宋_GB2312" w:hAnsi="仿宋_GB2312" w:eastAsia="仿宋_GB2312" w:cs="仿宋_GB2312"/>
          <w:b w:val="0"/>
          <w:bCs w:val="0"/>
          <w:color w:val="000000"/>
          <w:sz w:val="32"/>
          <w:szCs w:val="32"/>
          <w:lang w:eastAsia="zh-CN"/>
        </w:rPr>
        <w:t>》</w:t>
      </w:r>
      <w:r>
        <w:rPr>
          <w:rStyle w:val="8"/>
          <w:rFonts w:hint="eastAsia" w:ascii="仿宋_GB2312" w:hAnsi="仿宋_GB2312" w:eastAsia="仿宋_GB2312" w:cs="仿宋_GB2312"/>
          <w:b w:val="0"/>
          <w:bCs w:val="0"/>
          <w:color w:val="000000"/>
          <w:sz w:val="32"/>
          <w:szCs w:val="32"/>
        </w:rPr>
        <w:t>上发表的论文，附加分 30/篇）</w:t>
      </w:r>
      <w:r>
        <w:rPr>
          <w:rFonts w:hint="eastAsia" w:ascii="仿宋_GB2312" w:hAnsi="仿宋_GB2312" w:eastAsia="仿宋_GB2312" w:cs="仿宋_GB2312"/>
          <w:b w:val="0"/>
          <w:bCs w:val="0"/>
          <w:color w:val="000000"/>
          <w:sz w:val="32"/>
          <w:szCs w:val="32"/>
        </w:rPr>
        <w:t>；</w:t>
      </w:r>
    </w:p>
    <w:p w14:paraId="0F910D6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rPr>
        <w:t>一区影响因子≥15</w:t>
      </w:r>
      <w:r>
        <w:rPr>
          <w:rFonts w:hint="eastAsia" w:ascii="仿宋_GB2312" w:hAnsi="仿宋_GB2312" w:eastAsia="仿宋_GB2312" w:cs="仿宋_GB2312"/>
          <w:b w:val="0"/>
          <w:bCs w:val="0"/>
          <w:color w:val="000000"/>
          <w:sz w:val="32"/>
          <w:szCs w:val="32"/>
          <w:lang w:val="en-US" w:eastAsia="zh-CN"/>
        </w:rPr>
        <w:t>基础分</w:t>
      </w:r>
      <w:r>
        <w:rPr>
          <w:rFonts w:hint="eastAsia" w:ascii="仿宋_GB2312" w:hAnsi="仿宋_GB2312" w:eastAsia="仿宋_GB2312" w:cs="仿宋_GB2312"/>
          <w:b w:val="0"/>
          <w:bCs w:val="0"/>
          <w:color w:val="000000"/>
          <w:sz w:val="32"/>
          <w:szCs w:val="32"/>
        </w:rPr>
        <w:t>80分/篇（附加</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分）</w:t>
      </w:r>
      <w:r>
        <w:rPr>
          <w:rFonts w:hint="eastAsia" w:ascii="仿宋_GB2312" w:hAnsi="仿宋_GB2312" w:eastAsia="仿宋_GB2312" w:cs="仿宋_GB2312"/>
          <w:b w:val="0"/>
          <w:bCs w:val="0"/>
          <w:color w:val="000000"/>
          <w:sz w:val="32"/>
          <w:szCs w:val="32"/>
          <w:lang w:eastAsia="zh-CN"/>
        </w:rPr>
        <w:t>；</w:t>
      </w:r>
    </w:p>
    <w:p w14:paraId="274EAB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4.一区</w:t>
      </w:r>
      <w:r>
        <w:rPr>
          <w:rFonts w:hint="eastAsia" w:ascii="仿宋_GB2312" w:hAnsi="仿宋_GB2312" w:eastAsia="仿宋_GB2312" w:cs="仿宋_GB2312"/>
          <w:b w:val="0"/>
          <w:bCs w:val="0"/>
          <w:color w:val="000000"/>
          <w:sz w:val="32"/>
          <w:szCs w:val="32"/>
        </w:rPr>
        <w:t>影响因子＜15</w:t>
      </w:r>
      <w:r>
        <w:rPr>
          <w:rFonts w:hint="eastAsia" w:ascii="仿宋_GB2312" w:hAnsi="仿宋_GB2312" w:eastAsia="仿宋_GB2312" w:cs="仿宋_GB2312"/>
          <w:b w:val="0"/>
          <w:bCs w:val="0"/>
          <w:color w:val="000000"/>
          <w:sz w:val="32"/>
          <w:szCs w:val="32"/>
          <w:lang w:val="en-US" w:eastAsia="zh-CN"/>
        </w:rPr>
        <w:t>基础分</w:t>
      </w:r>
      <w:r>
        <w:rPr>
          <w:rFonts w:hint="eastAsia" w:ascii="仿宋_GB2312" w:hAnsi="仿宋_GB2312" w:eastAsia="仿宋_GB2312" w:cs="仿宋_GB2312"/>
          <w:b w:val="0"/>
          <w:bCs w:val="0"/>
          <w:color w:val="000000"/>
          <w:sz w:val="32"/>
          <w:szCs w:val="32"/>
        </w:rPr>
        <w:t>70分/篇（附加10分）。</w:t>
      </w:r>
    </w:p>
    <w:p w14:paraId="6BDB6FD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Fonts w:hint="default" w:ascii="仿宋_GB2312" w:hAnsi="仿宋_GB2312" w:eastAsia="仿宋_GB2312" w:cs="仿宋_GB2312"/>
          <w:b w:val="0"/>
          <w:bCs w:val="0"/>
          <w:color w:val="000000"/>
          <w:sz w:val="32"/>
          <w:szCs w:val="32"/>
          <w:lang w:val="en-US"/>
        </w:rPr>
      </w:pPr>
      <w:r>
        <w:rPr>
          <w:rStyle w:val="8"/>
          <w:rFonts w:hint="eastAsia" w:ascii="楷体_GB2312" w:hAnsi="楷体_GB2312" w:eastAsia="楷体_GB2312" w:cs="楷体_GB2312"/>
          <w:b w:val="0"/>
          <w:bCs/>
          <w:i w:val="0"/>
          <w:iCs w:val="0"/>
          <w:color w:val="FF0000"/>
          <w:sz w:val="32"/>
          <w:szCs w:val="32"/>
          <w:lang w:val="en-US" w:eastAsia="zh-CN"/>
        </w:rPr>
        <w:t>修订原因：改变以往一区期刊“统一分值”加分模式，避免高质期刊与普通低分高区期刊同分问题；加大对CNS正刊、子刊等顶级成果的分值倾斜，树立拔尖创新科研导向，引导研究生注重论文发表质量，主动冲击高水平学术期刊。</w:t>
      </w:r>
    </w:p>
    <w:p w14:paraId="2103DF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60" w:lineRule="exact"/>
        <w:ind w:left="0" w:right="0" w:firstLine="640" w:firstLineChars="200"/>
        <w:textAlignment w:val="auto"/>
        <w:rPr>
          <w:rFonts w:hint="default" w:ascii="黑体" w:hAnsi="黑体" w:eastAsia="黑体" w:cs="黑体"/>
          <w:b w:val="0"/>
          <w:bCs w:val="0"/>
          <w:color w:val="000000"/>
          <w:sz w:val="32"/>
          <w:szCs w:val="32"/>
          <w:lang w:val="en-US"/>
        </w:rPr>
      </w:pPr>
      <w:r>
        <w:rPr>
          <w:rFonts w:hint="eastAsia" w:ascii="黑体" w:hAnsi="黑体" w:eastAsia="黑体" w:cs="黑体"/>
          <w:b w:val="0"/>
          <w:bCs w:val="0"/>
          <w:color w:val="000000"/>
          <w:sz w:val="32"/>
          <w:szCs w:val="32"/>
        </w:rPr>
        <w:t>四、Q3公益及社会活动</w:t>
      </w:r>
      <w:r>
        <w:rPr>
          <w:rFonts w:hint="eastAsia" w:ascii="黑体" w:hAnsi="黑体" w:eastAsia="黑体" w:cs="黑体"/>
          <w:b w:val="0"/>
          <w:bCs w:val="0"/>
          <w:color w:val="000000"/>
          <w:sz w:val="32"/>
          <w:szCs w:val="32"/>
          <w:lang w:val="en-US" w:eastAsia="zh-CN"/>
        </w:rPr>
        <w:t>板块：新增实验室安全相关加分</w:t>
      </w:r>
    </w:p>
    <w:p w14:paraId="545BD80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b w:val="0"/>
          <w:bCs w:val="0"/>
          <w:kern w:val="0"/>
          <w:sz w:val="32"/>
          <w:szCs w:val="32"/>
          <w:highlight w:val="none"/>
          <w:lang w:val="en-US" w:eastAsia="zh-CN"/>
        </w:rPr>
      </w:pPr>
      <w:r>
        <w:rPr>
          <w:rFonts w:hint="eastAsia" w:ascii="仿宋_GB2312" w:hAnsi="仿宋_GB2312" w:eastAsia="仿宋_GB2312" w:cs="仿宋_GB2312"/>
          <w:color w:val="000000"/>
          <w:sz w:val="32"/>
          <w:szCs w:val="32"/>
          <w:lang w:val="en-US" w:eastAsia="zh-CN"/>
        </w:rPr>
        <w:t>1.社会工作类别新增实验室科研安全责任助理专项任职加分，按实验室等级分级赋分：</w:t>
      </w:r>
    </w:p>
    <w:tbl>
      <w:tblPr>
        <w:tblStyle w:val="6"/>
        <w:tblW w:w="84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9"/>
        <w:gridCol w:w="1370"/>
        <w:gridCol w:w="1370"/>
        <w:gridCol w:w="1370"/>
      </w:tblGrid>
      <w:tr w14:paraId="455D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99" w:type="dxa"/>
            <w:vAlign w:val="center"/>
          </w:tcPr>
          <w:p w14:paraId="70A6A9B3">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kern w:val="0"/>
                <w:sz w:val="21"/>
                <w:szCs w:val="21"/>
                <w:highlight w:val="none"/>
              </w:rPr>
            </w:pPr>
            <w:r>
              <w:rPr>
                <w:rFonts w:hint="eastAsia" w:ascii="Times New Roman" w:hAnsi="Times New Roman" w:eastAsia="仿宋_GB2312" w:cs="Times New Roman"/>
                <w:kern w:val="0"/>
                <w:sz w:val="21"/>
                <w:szCs w:val="21"/>
                <w:highlight w:val="none"/>
              </w:rPr>
              <w:t>实验室等级</w:t>
            </w:r>
          </w:p>
        </w:tc>
        <w:tc>
          <w:tcPr>
            <w:tcW w:w="1370" w:type="dxa"/>
            <w:vAlign w:val="center"/>
          </w:tcPr>
          <w:p w14:paraId="44C93755">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kern w:val="0"/>
                <w:sz w:val="21"/>
                <w:szCs w:val="21"/>
                <w:highlight w:val="none"/>
              </w:rPr>
            </w:pPr>
            <w:r>
              <w:rPr>
                <w:rFonts w:ascii="Times New Roman" w:hAnsi="Times New Roman" w:eastAsia="仿宋_GB2312" w:cs="Times New Roman"/>
                <w:kern w:val="0"/>
                <w:sz w:val="21"/>
                <w:szCs w:val="21"/>
                <w:highlight w:val="none"/>
              </w:rPr>
              <w:t>Ⅰ级</w:t>
            </w:r>
          </w:p>
        </w:tc>
        <w:tc>
          <w:tcPr>
            <w:tcW w:w="1370" w:type="dxa"/>
            <w:vAlign w:val="center"/>
          </w:tcPr>
          <w:p w14:paraId="765C82BB">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kern w:val="0"/>
                <w:sz w:val="21"/>
                <w:szCs w:val="21"/>
                <w:highlight w:val="none"/>
              </w:rPr>
            </w:pPr>
            <w:r>
              <w:rPr>
                <w:rFonts w:ascii="Times New Roman" w:hAnsi="Times New Roman" w:eastAsia="仿宋_GB2312" w:cs="Times New Roman"/>
                <w:kern w:val="0"/>
                <w:sz w:val="21"/>
                <w:szCs w:val="21"/>
                <w:highlight w:val="none"/>
              </w:rPr>
              <w:t>Ⅱ级</w:t>
            </w:r>
          </w:p>
        </w:tc>
        <w:tc>
          <w:tcPr>
            <w:tcW w:w="1370" w:type="dxa"/>
            <w:vAlign w:val="center"/>
          </w:tcPr>
          <w:p w14:paraId="56102B61">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kern w:val="0"/>
                <w:sz w:val="21"/>
                <w:szCs w:val="21"/>
                <w:highlight w:val="none"/>
              </w:rPr>
            </w:pPr>
            <w:r>
              <w:rPr>
                <w:rFonts w:ascii="Times New Roman" w:hAnsi="Times New Roman" w:eastAsia="仿宋_GB2312" w:cs="Times New Roman"/>
                <w:kern w:val="0"/>
                <w:sz w:val="21"/>
                <w:szCs w:val="21"/>
                <w:highlight w:val="none"/>
              </w:rPr>
              <w:t>Ⅲ</w:t>
            </w:r>
            <w:r>
              <w:rPr>
                <w:rFonts w:hint="eastAsia" w:ascii="Times New Roman" w:hAnsi="Times New Roman" w:eastAsia="仿宋_GB2312" w:cs="Times New Roman"/>
                <w:kern w:val="0"/>
                <w:sz w:val="21"/>
                <w:szCs w:val="21"/>
                <w:highlight w:val="none"/>
              </w:rPr>
              <w:t>与</w:t>
            </w:r>
            <w:r>
              <w:rPr>
                <w:rFonts w:ascii="Times New Roman" w:hAnsi="Times New Roman" w:eastAsia="仿宋_GB2312" w:cs="Times New Roman"/>
                <w:kern w:val="0"/>
                <w:sz w:val="21"/>
                <w:szCs w:val="21"/>
                <w:highlight w:val="none"/>
              </w:rPr>
              <w:t>Ⅳ级</w:t>
            </w:r>
          </w:p>
        </w:tc>
      </w:tr>
      <w:tr w14:paraId="0E0E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99" w:type="dxa"/>
            <w:vAlign w:val="center"/>
          </w:tcPr>
          <w:p w14:paraId="633E0B8B">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val="0"/>
                <w:bCs w:val="0"/>
                <w:kern w:val="0"/>
                <w:sz w:val="21"/>
                <w:szCs w:val="21"/>
                <w:highlight w:val="none"/>
              </w:rPr>
            </w:pPr>
            <w:r>
              <w:rPr>
                <w:rFonts w:ascii="Times New Roman" w:hAnsi="Times New Roman" w:eastAsia="仿宋_GB2312" w:cs="Times New Roman"/>
                <w:b w:val="0"/>
                <w:bCs w:val="0"/>
                <w:kern w:val="0"/>
                <w:sz w:val="21"/>
                <w:szCs w:val="21"/>
                <w:highlight w:val="none"/>
              </w:rPr>
              <w:t>实验室科研安全责任助理</w:t>
            </w:r>
          </w:p>
        </w:tc>
        <w:tc>
          <w:tcPr>
            <w:tcW w:w="1370" w:type="dxa"/>
            <w:vAlign w:val="center"/>
          </w:tcPr>
          <w:p w14:paraId="5E4DBAAC">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val="0"/>
                <w:bCs w:val="0"/>
                <w:kern w:val="0"/>
                <w:sz w:val="21"/>
                <w:szCs w:val="21"/>
                <w:highlight w:val="none"/>
              </w:rPr>
            </w:pPr>
            <w:r>
              <w:rPr>
                <w:rFonts w:hint="eastAsia" w:ascii="Times New Roman" w:hAnsi="Times New Roman" w:eastAsia="仿宋_GB2312" w:cs="Times New Roman"/>
                <w:b w:val="0"/>
                <w:bCs w:val="0"/>
                <w:kern w:val="0"/>
                <w:sz w:val="21"/>
                <w:szCs w:val="21"/>
                <w:highlight w:val="none"/>
              </w:rPr>
              <w:t>12</w:t>
            </w:r>
          </w:p>
        </w:tc>
        <w:tc>
          <w:tcPr>
            <w:tcW w:w="1370" w:type="dxa"/>
            <w:vAlign w:val="center"/>
          </w:tcPr>
          <w:p w14:paraId="66FF36E4">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val="0"/>
                <w:bCs w:val="0"/>
                <w:kern w:val="0"/>
                <w:sz w:val="21"/>
                <w:szCs w:val="21"/>
                <w:highlight w:val="none"/>
              </w:rPr>
            </w:pPr>
            <w:r>
              <w:rPr>
                <w:rFonts w:hint="eastAsia" w:ascii="Times New Roman" w:hAnsi="Times New Roman" w:eastAsia="仿宋_GB2312" w:cs="Times New Roman"/>
                <w:b w:val="0"/>
                <w:bCs w:val="0"/>
                <w:kern w:val="0"/>
                <w:sz w:val="21"/>
                <w:szCs w:val="21"/>
                <w:highlight w:val="none"/>
              </w:rPr>
              <w:t>9</w:t>
            </w:r>
          </w:p>
        </w:tc>
        <w:tc>
          <w:tcPr>
            <w:tcW w:w="1370" w:type="dxa"/>
            <w:vAlign w:val="center"/>
          </w:tcPr>
          <w:p w14:paraId="67E9C3EF">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val="0"/>
                <w:bCs w:val="0"/>
                <w:kern w:val="0"/>
                <w:sz w:val="21"/>
                <w:szCs w:val="21"/>
                <w:highlight w:val="none"/>
              </w:rPr>
            </w:pPr>
            <w:r>
              <w:rPr>
                <w:rFonts w:hint="eastAsia" w:ascii="Times New Roman" w:hAnsi="Times New Roman" w:eastAsia="仿宋_GB2312" w:cs="Times New Roman"/>
                <w:b w:val="0"/>
                <w:bCs w:val="0"/>
                <w:kern w:val="0"/>
                <w:sz w:val="21"/>
                <w:szCs w:val="21"/>
                <w:highlight w:val="none"/>
              </w:rPr>
              <w:t>6</w:t>
            </w:r>
          </w:p>
        </w:tc>
      </w:tr>
    </w:tbl>
    <w:p w14:paraId="6330AA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新增</w:t>
      </w:r>
      <w:r>
        <w:rPr>
          <w:rFonts w:hint="eastAsia" w:ascii="仿宋_GB2312" w:hAnsi="仿宋_GB2312" w:eastAsia="仿宋_GB2312" w:cs="仿宋_GB2312"/>
          <w:color w:val="000000"/>
          <w:sz w:val="32"/>
          <w:szCs w:val="32"/>
          <w:lang w:eastAsia="zh-CN"/>
        </w:rPr>
        <w:t>【</w:t>
      </w:r>
      <w:r>
        <w:rPr>
          <w:rStyle w:val="8"/>
          <w:rFonts w:hint="eastAsia" w:ascii="仿宋_GB2312" w:hAnsi="仿宋_GB2312" w:eastAsia="仿宋_GB2312" w:cs="仿宋_GB2312"/>
          <w:color w:val="000000"/>
          <w:sz w:val="32"/>
          <w:szCs w:val="32"/>
        </w:rPr>
        <w:t>3.6实验室安全及评比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加分模块</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上限</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分，包含实验室安全培训讲座、校级/院级先进实验室加</w:t>
      </w:r>
      <w:r>
        <w:rPr>
          <w:rFonts w:hint="eastAsia" w:ascii="仿宋_GB2312" w:hAnsi="仿宋_GB2312" w:eastAsia="仿宋_GB2312" w:cs="仿宋_GB2312"/>
          <w:color w:val="000000"/>
          <w:sz w:val="32"/>
          <w:szCs w:val="32"/>
          <w:lang w:val="en-US" w:eastAsia="zh-CN"/>
        </w:rPr>
        <w:t>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3586"/>
        <w:gridCol w:w="2804"/>
      </w:tblGrid>
      <w:tr w14:paraId="1902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gridSpan w:val="3"/>
            <w:vAlign w:val="center"/>
          </w:tcPr>
          <w:p w14:paraId="5A12A9A1">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cs="Times New Roman"/>
                <w:kern w:val="0"/>
                <w:sz w:val="21"/>
                <w:szCs w:val="21"/>
                <w:highlight w:val="none"/>
              </w:rPr>
            </w:pPr>
            <w:r>
              <w:rPr>
                <w:rFonts w:ascii="Times New Roman" w:hAnsi="Times New Roman" w:eastAsia="黑体" w:cs="Times New Roman"/>
                <w:kern w:val="0"/>
                <w:sz w:val="21"/>
                <w:szCs w:val="21"/>
                <w:highlight w:val="none"/>
              </w:rPr>
              <w:t>加分标准（分）</w:t>
            </w:r>
          </w:p>
        </w:tc>
      </w:tr>
      <w:tr w14:paraId="3531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vMerge w:val="restart"/>
            <w:vAlign w:val="center"/>
          </w:tcPr>
          <w:p w14:paraId="33F3D225">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实验室安全培训</w:t>
            </w:r>
          </w:p>
        </w:tc>
        <w:tc>
          <w:tcPr>
            <w:tcW w:w="3828" w:type="dxa"/>
            <w:vAlign w:val="center"/>
          </w:tcPr>
          <w:p w14:paraId="2BD19A14">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应急演练或消防安全演练</w:t>
            </w:r>
          </w:p>
        </w:tc>
        <w:tc>
          <w:tcPr>
            <w:tcW w:w="2969" w:type="dxa"/>
            <w:vAlign w:val="center"/>
          </w:tcPr>
          <w:p w14:paraId="52C04559">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Times New Roman" w:eastAsia="仿宋_GB2312" w:cs="Times New Roman"/>
                <w:b w:val="0"/>
                <w:bCs w:val="0"/>
                <w:kern w:val="0"/>
                <w:sz w:val="21"/>
                <w:szCs w:val="21"/>
                <w:highlight w:val="none"/>
                <w:lang w:val="en-US" w:eastAsia="zh-CN"/>
              </w:rPr>
            </w:pPr>
            <w:r>
              <w:rPr>
                <w:rFonts w:hint="eastAsia" w:ascii="仿宋_GB2312" w:hAnsi="Times New Roman" w:eastAsia="仿宋_GB2312" w:cs="Times New Roman"/>
                <w:b w:val="0"/>
                <w:bCs w:val="0"/>
                <w:kern w:val="0"/>
                <w:sz w:val="21"/>
                <w:szCs w:val="21"/>
                <w:highlight w:val="none"/>
              </w:rPr>
              <w:t>研一学年必须参加</w:t>
            </w:r>
            <w:r>
              <w:rPr>
                <w:rFonts w:hint="eastAsia" w:ascii="仿宋_GB2312" w:hAnsi="Times New Roman" w:eastAsia="仿宋_GB2312" w:cs="Times New Roman"/>
                <w:b w:val="0"/>
                <w:bCs w:val="0"/>
                <w:kern w:val="0"/>
                <w:sz w:val="21"/>
                <w:szCs w:val="21"/>
                <w:highlight w:val="none"/>
                <w:lang w:eastAsia="zh-CN"/>
              </w:rPr>
              <w:t>，</w:t>
            </w:r>
            <w:r>
              <w:rPr>
                <w:rFonts w:hint="eastAsia" w:ascii="仿宋_GB2312" w:hAnsi="Times New Roman" w:eastAsia="仿宋_GB2312" w:cs="Times New Roman"/>
                <w:b w:val="0"/>
                <w:bCs w:val="0"/>
                <w:kern w:val="0"/>
                <w:sz w:val="21"/>
                <w:szCs w:val="21"/>
                <w:highlight w:val="none"/>
                <w:lang w:val="en-US" w:eastAsia="zh-CN"/>
              </w:rPr>
              <w:t>不加分</w:t>
            </w:r>
          </w:p>
        </w:tc>
      </w:tr>
      <w:tr w14:paraId="735F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vMerge w:val="continue"/>
            <w:vAlign w:val="center"/>
          </w:tcPr>
          <w:p w14:paraId="1E6C3F37">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p>
        </w:tc>
        <w:tc>
          <w:tcPr>
            <w:tcW w:w="3828" w:type="dxa"/>
            <w:vAlign w:val="center"/>
          </w:tcPr>
          <w:p w14:paraId="39C1E10B">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实验室安全培训讲座</w:t>
            </w:r>
          </w:p>
        </w:tc>
        <w:tc>
          <w:tcPr>
            <w:tcW w:w="2969" w:type="dxa"/>
            <w:vAlign w:val="center"/>
          </w:tcPr>
          <w:p w14:paraId="5DE34873">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4/次</w:t>
            </w:r>
          </w:p>
        </w:tc>
      </w:tr>
      <w:tr w14:paraId="3368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vMerge w:val="restart"/>
            <w:vAlign w:val="center"/>
          </w:tcPr>
          <w:p w14:paraId="65260662">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实验室获奖</w:t>
            </w:r>
          </w:p>
        </w:tc>
        <w:tc>
          <w:tcPr>
            <w:tcW w:w="3828" w:type="dxa"/>
            <w:vAlign w:val="center"/>
          </w:tcPr>
          <w:p w14:paraId="7ECFD555">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校级先进实验室</w:t>
            </w:r>
          </w:p>
        </w:tc>
        <w:tc>
          <w:tcPr>
            <w:tcW w:w="2969" w:type="dxa"/>
            <w:vAlign w:val="center"/>
          </w:tcPr>
          <w:p w14:paraId="06382820">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8</w:t>
            </w:r>
          </w:p>
        </w:tc>
      </w:tr>
      <w:tr w14:paraId="6277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vMerge w:val="continue"/>
            <w:vAlign w:val="center"/>
          </w:tcPr>
          <w:p w14:paraId="3F6408B8">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p>
        </w:tc>
        <w:tc>
          <w:tcPr>
            <w:tcW w:w="3828" w:type="dxa"/>
            <w:vAlign w:val="center"/>
          </w:tcPr>
          <w:p w14:paraId="7BAF4266">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院级先进实验室</w:t>
            </w:r>
          </w:p>
        </w:tc>
        <w:tc>
          <w:tcPr>
            <w:tcW w:w="2969" w:type="dxa"/>
            <w:vAlign w:val="center"/>
          </w:tcPr>
          <w:p w14:paraId="0D932ECE">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5</w:t>
            </w:r>
          </w:p>
        </w:tc>
      </w:tr>
    </w:tbl>
    <w:p w14:paraId="7EEDC7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Style w:val="8"/>
          <w:rFonts w:hint="default" w:ascii="楷体_GB2312" w:hAnsi="楷体_GB2312" w:eastAsia="楷体_GB2312" w:cs="楷体_GB2312"/>
          <w:b w:val="0"/>
          <w:bCs/>
          <w:i w:val="0"/>
          <w:iCs w:val="0"/>
          <w:color w:val="FF0000"/>
          <w:sz w:val="32"/>
          <w:szCs w:val="32"/>
          <w:lang w:val="en-US" w:eastAsia="zh-CN"/>
        </w:rPr>
      </w:pPr>
      <w:r>
        <w:rPr>
          <w:rStyle w:val="8"/>
          <w:rFonts w:hint="eastAsia" w:ascii="楷体_GB2312" w:hAnsi="楷体_GB2312" w:eastAsia="楷体_GB2312" w:cs="楷体_GB2312"/>
          <w:b w:val="0"/>
          <w:bCs/>
          <w:i w:val="0"/>
          <w:iCs w:val="0"/>
          <w:color w:val="FF0000"/>
          <w:sz w:val="32"/>
          <w:szCs w:val="32"/>
          <w:lang w:val="en-US" w:eastAsia="zh-CN"/>
        </w:rPr>
        <w:t>修订原因：落实校园实验室安全常态化管理要求，强化研究生安全履职意识。将实验室安全助理履职、安全培训参与、先进实验室集体荣誉纳入综合素质加分范畴，实现实验室安全管理与评奖评优正向挂钩。</w:t>
      </w:r>
    </w:p>
    <w:p w14:paraId="18410D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560" w:lineRule="exact"/>
        <w:ind w:left="0" w:right="0" w:firstLine="643" w:firstLineChars="200"/>
        <w:textAlignment w:val="auto"/>
        <w:rPr>
          <w:color w:val="000000"/>
          <w:sz w:val="32"/>
          <w:szCs w:val="32"/>
        </w:rPr>
      </w:pPr>
      <w:r>
        <w:rPr>
          <w:color w:val="000000"/>
          <w:sz w:val="32"/>
          <w:szCs w:val="32"/>
        </w:rPr>
        <w:t>五、扣分项P</w:t>
      </w:r>
      <w:r>
        <w:rPr>
          <w:rFonts w:hint="eastAsia"/>
          <w:color w:val="000000"/>
          <w:sz w:val="32"/>
          <w:szCs w:val="32"/>
          <w:lang w:val="en-US" w:eastAsia="zh-CN"/>
        </w:rPr>
        <w:t>板块：新增</w:t>
      </w:r>
      <w:r>
        <w:rPr>
          <w:rStyle w:val="8"/>
          <w:b/>
          <w:color w:val="000000"/>
          <w:sz w:val="32"/>
          <w:szCs w:val="32"/>
        </w:rPr>
        <w:t>实验室安全专项扣分细则</w:t>
      </w:r>
    </w:p>
    <w:p w14:paraId="2C62368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新增</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4.2</w:t>
      </w:r>
      <w:r>
        <w:rPr>
          <w:rStyle w:val="8"/>
          <w:rFonts w:hint="eastAsia" w:ascii="仿宋_GB2312" w:hAnsi="仿宋_GB2312" w:eastAsia="仿宋_GB2312" w:cs="仿宋_GB2312"/>
          <w:color w:val="000000"/>
          <w:sz w:val="32"/>
          <w:szCs w:val="32"/>
        </w:rPr>
        <w:t>实验室安全专项扣分细则</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：实验室被通报批评（责任人或全体实验室学生）每次扣5分，个人第一次重大安全隐患扣10分、第二次取消评优；个人引发安全事故直接取消评优；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88"/>
        <w:gridCol w:w="2534"/>
      </w:tblGrid>
      <w:tr w14:paraId="718E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gridSpan w:val="2"/>
            <w:vAlign w:val="center"/>
          </w:tcPr>
          <w:p w14:paraId="6EC408B5">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cs="Times New Roman"/>
                <w:kern w:val="0"/>
                <w:sz w:val="21"/>
                <w:szCs w:val="21"/>
              </w:rPr>
            </w:pPr>
            <w:r>
              <w:rPr>
                <w:rFonts w:hint="eastAsia" w:ascii="Times New Roman" w:hAnsi="Times New Roman" w:eastAsia="黑体" w:cs="Times New Roman"/>
                <w:kern w:val="0"/>
                <w:sz w:val="21"/>
                <w:szCs w:val="21"/>
              </w:rPr>
              <w:t>扣</w:t>
            </w:r>
            <w:r>
              <w:rPr>
                <w:rFonts w:ascii="Times New Roman" w:hAnsi="Times New Roman" w:eastAsia="黑体" w:cs="Times New Roman"/>
                <w:kern w:val="0"/>
                <w:sz w:val="21"/>
                <w:szCs w:val="21"/>
              </w:rPr>
              <w:t>分标准（分）</w:t>
            </w:r>
          </w:p>
        </w:tc>
      </w:tr>
      <w:tr w14:paraId="74A0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74" w:type="dxa"/>
            <w:vAlign w:val="center"/>
          </w:tcPr>
          <w:p w14:paraId="0E223246">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rPr>
            </w:pPr>
            <w:r>
              <w:rPr>
                <w:rFonts w:hint="eastAsia" w:ascii="仿宋_GB2312" w:hAnsi="Times New Roman" w:eastAsia="仿宋_GB2312" w:cs="Times New Roman"/>
                <w:b w:val="0"/>
                <w:bCs w:val="0"/>
                <w:kern w:val="0"/>
                <w:sz w:val="21"/>
                <w:szCs w:val="21"/>
              </w:rPr>
              <w:t>实验室安全检查被通报批评（责任人或全体实验室学生）</w:t>
            </w:r>
          </w:p>
        </w:tc>
        <w:tc>
          <w:tcPr>
            <w:tcW w:w="2686" w:type="dxa"/>
            <w:vAlign w:val="center"/>
          </w:tcPr>
          <w:p w14:paraId="0B5C727D">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rPr>
            </w:pPr>
            <w:r>
              <w:rPr>
                <w:rFonts w:hint="eastAsia" w:ascii="仿宋_GB2312" w:hAnsi="Times New Roman" w:eastAsia="仿宋_GB2312" w:cs="Times New Roman"/>
                <w:b w:val="0"/>
                <w:bCs w:val="0"/>
                <w:kern w:val="0"/>
                <w:sz w:val="21"/>
                <w:szCs w:val="21"/>
              </w:rPr>
              <w:t>5/次</w:t>
            </w:r>
          </w:p>
        </w:tc>
      </w:tr>
      <w:tr w14:paraId="02B5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74" w:type="dxa"/>
            <w:vAlign w:val="center"/>
          </w:tcPr>
          <w:p w14:paraId="33E3889B">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rPr>
            </w:pPr>
            <w:r>
              <w:rPr>
                <w:rFonts w:hint="eastAsia" w:ascii="仿宋_GB2312" w:hAnsi="Times New Roman" w:eastAsia="仿宋_GB2312" w:cs="Times New Roman"/>
                <w:b w:val="0"/>
                <w:bCs w:val="0"/>
                <w:kern w:val="0"/>
                <w:sz w:val="21"/>
                <w:szCs w:val="21"/>
              </w:rPr>
              <w:t>个人第一次出现重大安全风险隐患</w:t>
            </w:r>
          </w:p>
        </w:tc>
        <w:tc>
          <w:tcPr>
            <w:tcW w:w="2686" w:type="dxa"/>
            <w:vAlign w:val="center"/>
          </w:tcPr>
          <w:p w14:paraId="3AFC78DA">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Times New Roman" w:eastAsia="仿宋_GB2312" w:cs="Times New Roman"/>
                <w:b w:val="0"/>
                <w:bCs w:val="0"/>
                <w:kern w:val="0"/>
                <w:sz w:val="21"/>
                <w:szCs w:val="21"/>
              </w:rPr>
            </w:pPr>
            <w:r>
              <w:rPr>
                <w:rFonts w:hint="eastAsia" w:ascii="仿宋_GB2312" w:hAnsi="Times New Roman" w:eastAsia="仿宋_GB2312" w:cs="Times New Roman"/>
                <w:b w:val="0"/>
                <w:bCs w:val="0"/>
                <w:kern w:val="0"/>
                <w:sz w:val="21"/>
                <w:szCs w:val="21"/>
              </w:rPr>
              <w:t>10</w:t>
            </w:r>
          </w:p>
        </w:tc>
      </w:tr>
      <w:tr w14:paraId="5D23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74" w:type="dxa"/>
            <w:vAlign w:val="center"/>
          </w:tcPr>
          <w:p w14:paraId="709A3DA5">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个人第二次出现重大安全风险隐患</w:t>
            </w:r>
          </w:p>
        </w:tc>
        <w:tc>
          <w:tcPr>
            <w:tcW w:w="2686" w:type="dxa"/>
            <w:vAlign w:val="center"/>
          </w:tcPr>
          <w:p w14:paraId="683BE743">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取消评优资格</w:t>
            </w:r>
          </w:p>
        </w:tc>
      </w:tr>
      <w:tr w14:paraId="4C29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74" w:type="dxa"/>
            <w:vAlign w:val="center"/>
          </w:tcPr>
          <w:p w14:paraId="23727EB7">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个人引发安全事故</w:t>
            </w:r>
          </w:p>
        </w:tc>
        <w:tc>
          <w:tcPr>
            <w:tcW w:w="2686" w:type="dxa"/>
            <w:vAlign w:val="center"/>
          </w:tcPr>
          <w:p w14:paraId="7A73EBCC">
            <w:pPr>
              <w:pStyle w:val="10"/>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Times New Roman" w:eastAsia="仿宋_GB2312" w:cs="Times New Roman"/>
                <w:b w:val="0"/>
                <w:bCs w:val="0"/>
                <w:kern w:val="0"/>
                <w:sz w:val="21"/>
                <w:szCs w:val="21"/>
                <w:highlight w:val="none"/>
              </w:rPr>
            </w:pPr>
            <w:r>
              <w:rPr>
                <w:rFonts w:hint="eastAsia" w:ascii="仿宋_GB2312" w:hAnsi="Times New Roman" w:eastAsia="仿宋_GB2312" w:cs="Times New Roman"/>
                <w:b w:val="0"/>
                <w:bCs w:val="0"/>
                <w:kern w:val="0"/>
                <w:sz w:val="21"/>
                <w:szCs w:val="21"/>
                <w:highlight w:val="none"/>
              </w:rPr>
              <w:t>取消评优资格</w:t>
            </w:r>
          </w:p>
        </w:tc>
      </w:tr>
    </w:tbl>
    <w:p w14:paraId="4F17ACB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sz w:val="32"/>
          <w:szCs w:val="32"/>
        </w:rPr>
      </w:pPr>
      <w:r>
        <w:rPr>
          <w:rStyle w:val="8"/>
          <w:rFonts w:hint="eastAsia" w:ascii="楷体_GB2312" w:hAnsi="楷体_GB2312" w:eastAsia="楷体_GB2312" w:cs="楷体_GB2312"/>
          <w:b w:val="0"/>
          <w:bCs/>
          <w:i w:val="0"/>
          <w:iCs w:val="0"/>
          <w:color w:val="FF0000"/>
          <w:sz w:val="32"/>
          <w:szCs w:val="32"/>
          <w:lang w:val="en-US" w:eastAsia="zh-CN"/>
        </w:rPr>
        <w:t>修订原因：压实研究生实验室安全主体责任，建立明确的安全违规量化约束机制。通过梯度扣分、取消评优资格等刚性规定，筑牢安全红线，强化研究生规范操作意识，从制度层面防范安全隐患与事故发生。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CFEAB9-33AB-4929-85EA-5CF8B0B8E5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5B4712A6-D7B3-44CE-B6A0-D59E0D67604E}"/>
  </w:font>
  <w:font w:name="仿宋_GB2312">
    <w:panose1 w:val="02010609030101010101"/>
    <w:charset w:val="86"/>
    <w:family w:val="auto"/>
    <w:pitch w:val="default"/>
    <w:sig w:usb0="00000001" w:usb1="080E0000" w:usb2="00000000" w:usb3="00000000" w:csb0="00040000" w:csb1="00000000"/>
    <w:embedRegular r:id="rId3" w:fontKey="{0755CE9C-D73B-4171-8BC5-AEFE8567D643}"/>
  </w:font>
  <w:font w:name="小标宋">
    <w:panose1 w:val="03000509000000000000"/>
    <w:charset w:val="86"/>
    <w:family w:val="auto"/>
    <w:pitch w:val="default"/>
    <w:sig w:usb0="00000001" w:usb1="080E0000" w:usb2="00000000" w:usb3="00000000" w:csb0="00040000" w:csb1="00000000"/>
    <w:embedRegular r:id="rId4" w:fontKey="{87452768-A4CC-488D-8768-ACA3BB1E5FF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D55259"/>
    <w:rsid w:val="05D55259"/>
    <w:rsid w:val="082334CE"/>
    <w:rsid w:val="189A58E9"/>
    <w:rsid w:val="23B4579F"/>
    <w:rsid w:val="4553386C"/>
    <w:rsid w:val="49FA01CC"/>
    <w:rsid w:val="6F6C4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paragraph" w:customStyle="1" w:styleId="10">
    <w:name w:val="2.1"/>
    <w:basedOn w:val="1"/>
    <w:qFormat/>
    <w:uiPriority w:val="0"/>
    <w:pPr>
      <w:spacing w:line="520" w:lineRule="exact"/>
    </w:pPr>
    <w:rPr>
      <w:rFonts w:ascii="楷体_GB2312" w:hAnsi="黑体" w:eastAsia="楷体_GB2312" w:cs="仿宋_GB2312"/>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1296</Words>
  <Characters>1434</Characters>
  <Lines>0</Lines>
  <Paragraphs>0</Paragraphs>
  <TotalTime>0</TotalTime>
  <ScaleCrop>false</ScaleCrop>
  <LinksUpToDate>false</LinksUpToDate>
  <CharactersWithSpaces>1437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2026-05-28T02:07:00Z</dcterms:created>
  <dc:creator>小妮子</dc:creator>
  <cp:lastModifiedBy>小妮子</cp:lastModifiedBy>
  <dcterms:modified xsi:type="dcterms:W3CDTF">2026-06-05T09:07:36Z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5C29E5817CAA41D1B1409B20AE54A90A_11</vt:lpwstr>
  </property>
  <property fmtid="{D5CDD505-2E9C-101B-9397-08002B2CF9AE}" pid="4" name="KSOTemplateDocerSaveRecord">
    <vt:lpwstr>eyJoZGlkIjoiZGNmMDY4NWQ5OGRlZjY0OTVmMWIyMDg1NWRjNzdmYmYiLCJ1c2VySWQiOiI0MzEyMjIzMDIifQ==</vt:lpwstr>
  </property>
</Properties>
</file>